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A3224">
      <w:pPr>
        <w:spacing w:before="480" w:after="480" w:line="288" w:lineRule="auto"/>
        <w:ind w:left="0"/>
        <w:jc w:val="center"/>
        <w:rPr>
          <w:sz w:val="36"/>
          <w:szCs w:val="36"/>
        </w:rPr>
      </w:pPr>
      <w:bookmarkStart w:id="15" w:name="_GoBack"/>
      <w:bookmarkEnd w:id="15"/>
      <w:permStart w:id="0" w:edGrp="everyone"/>
      <w:permEnd w:id="0"/>
      <w:r>
        <w:rPr>
          <w:rFonts w:hint="eastAsia" w:ascii="楷体" w:hAnsi="楷体" w:eastAsia="楷体" w:cs="楷体"/>
          <w:b/>
          <w:color w:val="000000" w:themeColor="text1"/>
          <w:sz w:val="36"/>
          <w:szCs w:val="36"/>
          <w:lang w:val="en-US" w:eastAsia="zh-CN"/>
          <w14:textFill>
            <w14:solidFill>
              <w14:schemeClr w14:val="tx1"/>
            </w14:solidFill>
          </w14:textFill>
        </w:rPr>
        <w:t>招商智行</w:t>
      </w:r>
      <w:r>
        <w:rPr>
          <w:rFonts w:hint="eastAsia" w:ascii="楷体" w:hAnsi="楷体" w:eastAsia="楷体" w:cs="楷体"/>
          <w:b/>
          <w:color w:val="000000" w:themeColor="text1"/>
          <w:sz w:val="36"/>
          <w:szCs w:val="36"/>
          <w:lang w:val="en-US" w:eastAsia="zh"/>
          <w14:textFill>
            <w14:solidFill>
              <w14:schemeClr w14:val="tx1"/>
            </w14:solidFill>
          </w14:textFill>
          <w:woUserID w:val="2"/>
        </w:rPr>
        <w:t>城配</w:t>
      </w:r>
      <w:r>
        <w:rPr>
          <w:rFonts w:hint="eastAsia" w:ascii="楷体" w:hAnsi="楷体" w:eastAsia="楷体" w:cs="楷体"/>
          <w:b/>
          <w:color w:val="000000" w:themeColor="text1"/>
          <w:sz w:val="36"/>
          <w:szCs w:val="36"/>
          <w14:textFill>
            <w14:solidFill>
              <w14:schemeClr w14:val="tx1"/>
            </w14:solidFill>
          </w14:textFill>
        </w:rPr>
        <w:t>业务外包合同</w:t>
      </w:r>
    </w:p>
    <w:p w14:paraId="771EF21D">
      <w:pPr>
        <w:spacing w:line="360" w:lineRule="auto"/>
        <w:ind w:firstLine="720" w:firstLineChars="300"/>
        <w:jc w:val="left"/>
        <w:rPr>
          <w:rFonts w:hint="eastAsia" w:ascii="楷体" w:hAnsi="楷体" w:eastAsia="楷体" w:cs="楷体"/>
          <w:sz w:val="24"/>
          <w:szCs w:val="24"/>
        </w:rPr>
      </w:pPr>
      <w:r>
        <w:rPr>
          <w:rFonts w:hint="eastAsia" w:ascii="楷体" w:hAnsi="楷体" w:eastAsia="楷体" w:cs="楷体"/>
          <w:sz w:val="24"/>
          <w:szCs w:val="24"/>
        </w:rPr>
        <w:t>甲      方：招商智行（重庆）科技有限公司</w:t>
      </w:r>
    </w:p>
    <w:p w14:paraId="793B4CED">
      <w:pPr>
        <w:spacing w:line="360" w:lineRule="auto"/>
        <w:ind w:firstLine="720" w:firstLineChars="300"/>
        <w:jc w:val="left"/>
        <w:rPr>
          <w:rFonts w:hint="eastAsia" w:ascii="楷体" w:hAnsi="楷体" w:eastAsia="楷体" w:cs="楷体"/>
          <w:sz w:val="24"/>
          <w:szCs w:val="24"/>
        </w:rPr>
      </w:pPr>
      <w:r>
        <w:rPr>
          <w:rFonts w:hint="eastAsia" w:ascii="楷体" w:hAnsi="楷体" w:eastAsia="楷体" w:cs="楷体"/>
          <w:sz w:val="24"/>
          <w:szCs w:val="24"/>
        </w:rPr>
        <w:t>住  所  地：重庆市高新区金凤镇新金大道 9 号 1 幢</w:t>
      </w:r>
    </w:p>
    <w:p w14:paraId="73030CD1">
      <w:pPr>
        <w:spacing w:line="360" w:lineRule="auto"/>
        <w:ind w:firstLine="720" w:firstLineChars="300"/>
        <w:jc w:val="left"/>
        <w:rPr>
          <w:rFonts w:hint="eastAsia" w:ascii="楷体" w:hAnsi="楷体" w:eastAsia="楷体" w:cs="楷体"/>
          <w:sz w:val="24"/>
          <w:szCs w:val="24"/>
        </w:rPr>
      </w:pPr>
      <w:r>
        <w:rPr>
          <w:rFonts w:hint="eastAsia" w:ascii="楷体" w:hAnsi="楷体" w:eastAsia="楷体" w:cs="楷体"/>
          <w:sz w:val="24"/>
          <w:szCs w:val="24"/>
        </w:rPr>
        <w:t>法定代表人：祖晖</w:t>
      </w:r>
    </w:p>
    <w:p w14:paraId="570F9D58">
      <w:pPr>
        <w:spacing w:line="360" w:lineRule="auto"/>
        <w:ind w:firstLine="720" w:firstLineChars="300"/>
        <w:jc w:val="left"/>
        <w:rPr>
          <w:rFonts w:hint="eastAsia" w:ascii="楷体" w:hAnsi="楷体" w:eastAsia="楷体" w:cs="楷体"/>
          <w:sz w:val="24"/>
          <w:szCs w:val="24"/>
        </w:rPr>
      </w:pPr>
      <w:r>
        <w:rPr>
          <w:rFonts w:hint="eastAsia" w:ascii="楷体" w:hAnsi="楷体" w:eastAsia="楷体" w:cs="楷体"/>
          <w:sz w:val="24"/>
          <w:szCs w:val="24"/>
        </w:rPr>
        <w:t>项目联系人：</w:t>
      </w:r>
    </w:p>
    <w:p w14:paraId="0D1416B5">
      <w:pPr>
        <w:spacing w:line="360" w:lineRule="auto"/>
        <w:ind w:firstLine="720" w:firstLineChars="300"/>
        <w:jc w:val="left"/>
        <w:rPr>
          <w:rFonts w:hint="eastAsia" w:ascii="楷体" w:hAnsi="楷体" w:eastAsia="楷体" w:cs="楷体"/>
          <w:sz w:val="24"/>
          <w:szCs w:val="24"/>
        </w:rPr>
      </w:pPr>
      <w:r>
        <w:rPr>
          <w:rFonts w:hint="eastAsia" w:ascii="楷体" w:hAnsi="楷体" w:eastAsia="楷体" w:cs="楷体"/>
          <w:sz w:val="24"/>
          <w:szCs w:val="24"/>
        </w:rPr>
        <w:t>联系方式：</w:t>
      </w:r>
    </w:p>
    <w:p w14:paraId="56B7DA25">
      <w:pPr>
        <w:spacing w:line="360" w:lineRule="auto"/>
        <w:ind w:firstLine="720" w:firstLineChars="300"/>
        <w:jc w:val="left"/>
        <w:rPr>
          <w:rFonts w:hint="eastAsia" w:ascii="楷体" w:hAnsi="楷体" w:eastAsia="楷体" w:cs="楷体"/>
          <w:sz w:val="24"/>
          <w:szCs w:val="24"/>
        </w:rPr>
      </w:pPr>
      <w:r>
        <w:rPr>
          <w:rFonts w:hint="eastAsia" w:ascii="楷体" w:hAnsi="楷体" w:eastAsia="楷体" w:cs="楷体"/>
          <w:sz w:val="24"/>
          <w:szCs w:val="24"/>
        </w:rPr>
        <w:t>通讯地址：</w:t>
      </w:r>
    </w:p>
    <w:p w14:paraId="6638A6B7">
      <w:pPr>
        <w:spacing w:line="360" w:lineRule="auto"/>
        <w:ind w:firstLine="720" w:firstLineChars="300"/>
        <w:jc w:val="left"/>
        <w:rPr>
          <w:rFonts w:hint="eastAsia" w:ascii="楷体" w:hAnsi="楷体" w:eastAsia="楷体" w:cs="楷体"/>
          <w:sz w:val="24"/>
          <w:szCs w:val="24"/>
        </w:rPr>
      </w:pPr>
    </w:p>
    <w:p w14:paraId="26609C30">
      <w:pPr>
        <w:spacing w:line="360" w:lineRule="auto"/>
        <w:ind w:firstLine="720" w:firstLineChars="3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乙      方：</w:t>
      </w:r>
    </w:p>
    <w:p w14:paraId="2DC4EAD8">
      <w:pPr>
        <w:spacing w:line="360" w:lineRule="auto"/>
        <w:ind w:firstLine="720" w:firstLineChars="3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住  所  地：</w:t>
      </w:r>
    </w:p>
    <w:p w14:paraId="4338F9C7">
      <w:pPr>
        <w:spacing w:line="360" w:lineRule="auto"/>
        <w:ind w:firstLine="720" w:firstLineChars="3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w:t>
      </w:r>
    </w:p>
    <w:p w14:paraId="7BD3167D">
      <w:pPr>
        <w:spacing w:line="360" w:lineRule="auto"/>
        <w:ind w:firstLine="720" w:firstLineChars="3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项目联系人：</w:t>
      </w:r>
    </w:p>
    <w:p w14:paraId="6C12B963">
      <w:pPr>
        <w:spacing w:line="360" w:lineRule="auto"/>
        <w:ind w:firstLine="720" w:firstLineChars="3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联系方式 ：</w:t>
      </w:r>
    </w:p>
    <w:p w14:paraId="255EEE19">
      <w:pPr>
        <w:spacing w:line="360" w:lineRule="auto"/>
        <w:ind w:firstLine="720" w:firstLineChars="3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通讯地址：</w:t>
      </w:r>
    </w:p>
    <w:p w14:paraId="0382E52F">
      <w:pPr>
        <w:spacing w:before="300" w:after="120" w:line="288" w:lineRule="auto"/>
        <w:ind w:left="0"/>
        <w:jc w:val="left"/>
        <w:outlineLvl w:val="2"/>
        <w:rPr>
          <w:rFonts w:hint="eastAsia" w:ascii="楷体" w:hAnsi="楷体" w:eastAsia="楷体" w:cs="楷体"/>
          <w:color w:val="000000" w:themeColor="text1"/>
          <w:sz w:val="24"/>
          <w:szCs w:val="24"/>
          <w14:textFill>
            <w14:solidFill>
              <w14:schemeClr w14:val="tx1"/>
            </w14:solidFill>
          </w14:textFill>
        </w:rPr>
      </w:pPr>
      <w:bookmarkStart w:id="0" w:name="heading_0"/>
      <w:r>
        <w:rPr>
          <w:rFonts w:hint="eastAsia" w:ascii="楷体" w:hAnsi="楷体" w:eastAsia="楷体" w:cs="楷体"/>
          <w:b/>
          <w:color w:val="000000" w:themeColor="text1"/>
          <w:sz w:val="24"/>
          <w:szCs w:val="24"/>
          <w14:textFill>
            <w14:solidFill>
              <w14:schemeClr w14:val="tx1"/>
            </w14:solidFill>
          </w14:textFill>
        </w:rPr>
        <w:t>一、合作内容</w:t>
      </w:r>
      <w:bookmarkEnd w:id="0"/>
    </w:p>
    <w:p w14:paraId="386F3E07">
      <w:pPr>
        <w:numPr>
          <w:ilvl w:val="0"/>
          <w:numId w:val="1"/>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乙方根据甲方要求承担</w:t>
      </w:r>
      <w:r>
        <w:rPr>
          <w:rFonts w:hint="eastAsia" w:ascii="楷体" w:hAnsi="楷体" w:eastAsia="楷体" w:cs="楷体"/>
          <w:color w:val="000000" w:themeColor="text1"/>
          <w:sz w:val="24"/>
          <w:szCs w:val="24"/>
          <w:lang w:eastAsia="zh"/>
          <w14:textFill>
            <w14:solidFill>
              <w14:schemeClr w14:val="tx1"/>
            </w14:solidFill>
          </w14:textFill>
          <w:woUserID w:val="2"/>
        </w:rPr>
        <w:t>包括但不限于</w:t>
      </w:r>
      <w:r>
        <w:rPr>
          <w:rFonts w:hint="eastAsia" w:ascii="楷体" w:hAnsi="楷体" w:eastAsia="楷体" w:cs="楷体"/>
          <w:color w:val="000000" w:themeColor="text1"/>
          <w:sz w:val="24"/>
          <w:szCs w:val="24"/>
          <w14:textFill>
            <w14:solidFill>
              <w14:schemeClr w14:val="tx1"/>
            </w14:solidFill>
          </w14:textFill>
        </w:rPr>
        <w:t>甲方相关邮件、快件</w:t>
      </w:r>
      <w:r>
        <w:rPr>
          <w:rFonts w:hint="eastAsia" w:ascii="楷体" w:hAnsi="楷体" w:eastAsia="楷体" w:cs="楷体"/>
          <w:color w:val="000000" w:themeColor="text1"/>
          <w:sz w:val="24"/>
          <w:szCs w:val="24"/>
          <w14:textFill>
            <w14:solidFill>
              <w14:schemeClr w14:val="tx1"/>
            </w14:solidFill>
          </w14:textFill>
          <w:woUserID w:val="2"/>
        </w:rPr>
        <w:t>处理</w:t>
      </w:r>
      <w:r>
        <w:rPr>
          <w:rFonts w:hint="eastAsia" w:ascii="楷体" w:hAnsi="楷体" w:eastAsia="楷体" w:cs="楷体"/>
          <w:color w:val="000000" w:themeColor="text1"/>
          <w:sz w:val="24"/>
          <w:szCs w:val="24"/>
          <w:lang w:eastAsia="zh"/>
          <w14:textFill>
            <w14:solidFill>
              <w14:schemeClr w14:val="tx1"/>
            </w14:solidFill>
          </w14:textFill>
          <w:woUserID w:val="2"/>
        </w:rPr>
        <w:t>、生鲜及日用百货等配送</w:t>
      </w:r>
      <w:r>
        <w:rPr>
          <w:rFonts w:hint="eastAsia" w:ascii="楷体" w:hAnsi="楷体" w:eastAsia="楷体" w:cs="楷体"/>
          <w:color w:val="000000" w:themeColor="text1"/>
          <w:sz w:val="24"/>
          <w:szCs w:val="24"/>
          <w14:textFill>
            <w14:solidFill>
              <w14:schemeClr w14:val="tx1"/>
            </w14:solidFill>
          </w14:textFill>
        </w:rPr>
        <w:t>外包工作，具体包括：邮件投递、邮件内部处理（揽收、接收、开拆、分拣、封发、装卸车、客服售后等，不含邮件运输）、邮件（揽收、投递）</w:t>
      </w:r>
      <w:r>
        <w:rPr>
          <w:rFonts w:hint="eastAsia" w:ascii="楷体" w:hAnsi="楷体" w:eastAsia="楷体" w:cs="楷体"/>
          <w:color w:val="000000" w:themeColor="text1"/>
          <w:sz w:val="24"/>
          <w:szCs w:val="24"/>
          <w:lang w:eastAsia="zh"/>
          <w14:textFill>
            <w14:solidFill>
              <w14:schemeClr w14:val="tx1"/>
            </w14:solidFill>
          </w14:textFill>
          <w:woUserID w:val="2"/>
        </w:rPr>
        <w:t>、生鲜类商品配送及百货类商品配送及揽收</w:t>
      </w:r>
      <w:r>
        <w:rPr>
          <w:rFonts w:hint="eastAsia" w:ascii="楷体" w:hAnsi="楷体" w:eastAsia="楷体" w:cs="楷体"/>
          <w:color w:val="000000" w:themeColor="text1"/>
          <w:sz w:val="24"/>
          <w:szCs w:val="24"/>
          <w14:textFill>
            <w14:solidFill>
              <w14:schemeClr w14:val="tx1"/>
            </w14:solidFill>
          </w14:textFill>
        </w:rPr>
        <w:t>等具体业务。</w:t>
      </w:r>
    </w:p>
    <w:p w14:paraId="42CEF6E9">
      <w:pPr>
        <w:numPr>
          <w:ilvl w:val="0"/>
          <w:numId w:val="2"/>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服务目标：</w:t>
      </w:r>
    </w:p>
    <w:p w14:paraId="369557E3">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（1）乙方项目承包期内，甲方每月对乙方服务情况进行考核，具体考核标准见附件《外包业务考核标准》。</w:t>
      </w:r>
    </w:p>
    <w:p w14:paraId="3FFCC0B7">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（2）外包业务项目质量指标包括但不限于：及时率、准确率、安全率、招聘达成率、人均日效能、客户满意度等。</w:t>
      </w:r>
    </w:p>
    <w:p w14:paraId="3EDEA6BA">
      <w:pPr>
        <w:numPr>
          <w:ilvl w:val="0"/>
          <w:numId w:val="2"/>
        </w:numPr>
        <w:spacing w:before="120" w:after="120" w:line="288" w:lineRule="auto"/>
        <w:ind w:left="0"/>
        <w:jc w:val="left"/>
        <w:rPr>
          <w:rFonts w:hint="default"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服务订单：甲方向乙方出具外包业务订单，传递订单方式</w:t>
      </w:r>
      <w:r>
        <w:rPr>
          <w:rFonts w:hint="eastAsia" w:ascii="楷体" w:hAnsi="楷体" w:eastAsia="楷体" w:cs="楷体"/>
          <w:color w:val="000000" w:themeColor="text1"/>
          <w:sz w:val="24"/>
          <w:szCs w:val="24"/>
          <w:lang w:eastAsia="zh"/>
          <w14:textFill>
            <w14:solidFill>
              <w14:schemeClr w14:val="tx1"/>
            </w14:solidFill>
          </w14:textFill>
          <w:woUserID w:val="2"/>
        </w:rPr>
        <w:t>包括但不限于</w:t>
      </w:r>
      <w:r>
        <w:rPr>
          <w:rFonts w:hint="eastAsia" w:ascii="楷体" w:hAnsi="楷体" w:eastAsia="楷体" w:cs="楷体"/>
          <w:color w:val="000000" w:themeColor="text1"/>
          <w:sz w:val="24"/>
          <w:szCs w:val="24"/>
          <w:lang w:val="en-US" w:eastAsia="zh-CN"/>
          <w14:textFill>
            <w14:solidFill>
              <w14:schemeClr w14:val="tx1"/>
            </w14:solidFill>
          </w14:textFill>
          <w:woUserID w:val="2"/>
        </w:rPr>
        <w:t>邮件、微信、快递信函等。</w:t>
      </w:r>
    </w:p>
    <w:p w14:paraId="2A5F9328">
      <w:pPr>
        <w:numPr>
          <w:ilvl w:val="0"/>
          <w:numId w:val="2"/>
        </w:numPr>
        <w:spacing w:before="120" w:after="120" w:line="288" w:lineRule="auto"/>
        <w:ind w:left="0"/>
        <w:jc w:val="left"/>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乙方按照甲方要求承接外包项目后，应当独立完成，未经甲方书面同意，严禁转包、分包。</w:t>
      </w:r>
    </w:p>
    <w:p w14:paraId="1A8F86C2">
      <w:pPr>
        <w:numPr>
          <w:ilvl w:val="0"/>
          <w:numId w:val="2"/>
        </w:numPr>
        <w:spacing w:before="120" w:after="120" w:line="288" w:lineRule="auto"/>
        <w:ind w:left="0"/>
        <w:jc w:val="left"/>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在本合同签订之日起5个工作日内，乙方应提供服务本项目人员名册，并负责本项目中所有人员档案的建立和管理，在提供服务人员名单时应附送服务人员身份证复印件及简历。服务项目过程中，因减员需要重新增加人员的，乙方应在人员到位后5日内将新人员名册及身份证复印件提交甲方。</w:t>
      </w:r>
    </w:p>
    <w:p w14:paraId="5508907A">
      <w:pPr>
        <w:spacing w:before="300" w:after="120" w:line="288" w:lineRule="auto"/>
        <w:ind w:left="0"/>
        <w:jc w:val="left"/>
        <w:outlineLvl w:val="2"/>
        <w:rPr>
          <w:rFonts w:hint="eastAsia" w:ascii="楷体" w:hAnsi="楷体" w:eastAsia="楷体" w:cs="楷体"/>
          <w:color w:val="000000" w:themeColor="text1"/>
          <w:sz w:val="24"/>
          <w:szCs w:val="24"/>
          <w14:textFill>
            <w14:solidFill>
              <w14:schemeClr w14:val="tx1"/>
            </w14:solidFill>
          </w14:textFill>
        </w:rPr>
      </w:pPr>
      <w:bookmarkStart w:id="1" w:name="heading_1"/>
      <w:r>
        <w:rPr>
          <w:rFonts w:hint="eastAsia" w:ascii="楷体" w:hAnsi="楷体" w:eastAsia="楷体" w:cs="楷体"/>
          <w:b/>
          <w:color w:val="000000" w:themeColor="text1"/>
          <w:sz w:val="24"/>
          <w:szCs w:val="24"/>
          <w14:textFill>
            <w14:solidFill>
              <w14:schemeClr w14:val="tx1"/>
            </w14:solidFill>
          </w14:textFill>
        </w:rPr>
        <w:t>二、合同期限</w:t>
      </w:r>
      <w:bookmarkEnd w:id="1"/>
    </w:p>
    <w:p w14:paraId="76A5B478">
      <w:p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本合同</w:t>
      </w:r>
      <w:r>
        <w:rPr>
          <w:rFonts w:hint="eastAsia" w:ascii="楷体" w:hAnsi="楷体" w:eastAsia="楷体" w:cs="楷体"/>
          <w:color w:val="000000" w:themeColor="text1"/>
          <w:sz w:val="24"/>
          <w:szCs w:val="24"/>
          <w:lang w:val="en-US" w:eastAsia="zh-CN"/>
          <w14:textFill>
            <w14:solidFill>
              <w14:schemeClr w14:val="tx1"/>
            </w14:solidFill>
          </w14:textFill>
        </w:rPr>
        <w:t>有效</w:t>
      </w:r>
      <w:r>
        <w:rPr>
          <w:rFonts w:hint="eastAsia" w:ascii="楷体" w:hAnsi="楷体" w:eastAsia="楷体" w:cs="楷体"/>
          <w:color w:val="000000" w:themeColor="text1"/>
          <w:sz w:val="24"/>
          <w:szCs w:val="24"/>
          <w14:textFill>
            <w14:solidFill>
              <w14:schemeClr w14:val="tx1"/>
            </w14:solidFill>
          </w14:textFill>
        </w:rPr>
        <w:t>期限</w:t>
      </w:r>
      <w:r>
        <w:rPr>
          <w:rFonts w:hint="eastAsia" w:ascii="楷体" w:hAnsi="楷体" w:eastAsia="楷体" w:cs="楷体"/>
          <w:color w:val="000000" w:themeColor="text1"/>
          <w:sz w:val="24"/>
          <w:szCs w:val="24"/>
          <w:lang w:eastAsia="zh"/>
          <w14:textFill>
            <w14:solidFill>
              <w14:schemeClr w14:val="tx1"/>
            </w14:solidFill>
          </w14:textFill>
          <w:woUserID w:val="2"/>
        </w:rPr>
        <w:t>1</w:t>
      </w:r>
      <w:r>
        <w:rPr>
          <w:rFonts w:hint="eastAsia" w:ascii="楷体" w:hAnsi="楷体" w:eastAsia="楷体" w:cs="楷体"/>
          <w:color w:val="000000" w:themeColor="text1"/>
          <w:sz w:val="24"/>
          <w:szCs w:val="24"/>
          <w14:textFill>
            <w14:solidFill>
              <w14:schemeClr w14:val="tx1"/>
            </w14:solidFill>
          </w14:textFill>
        </w:rPr>
        <w:t>年，从____年__月__日起至____年__月__日止，合同期满后，如甲乙双方无异议，本合同自动顺延，顺延期限最长不超过____年。</w:t>
      </w:r>
    </w:p>
    <w:p w14:paraId="1E3A5957">
      <w:pPr>
        <w:spacing w:before="300" w:after="120" w:line="288" w:lineRule="auto"/>
        <w:ind w:left="0"/>
        <w:jc w:val="left"/>
        <w:outlineLvl w:val="2"/>
        <w:rPr>
          <w:rFonts w:hint="eastAsia" w:ascii="楷体" w:hAnsi="楷体" w:eastAsia="楷体" w:cs="楷体"/>
          <w:color w:val="000000" w:themeColor="text1"/>
          <w:sz w:val="24"/>
          <w:szCs w:val="24"/>
          <w14:textFill>
            <w14:solidFill>
              <w14:schemeClr w14:val="tx1"/>
            </w14:solidFill>
          </w14:textFill>
        </w:rPr>
      </w:pPr>
      <w:bookmarkStart w:id="2" w:name="heading_2"/>
      <w:r>
        <w:rPr>
          <w:rFonts w:hint="eastAsia" w:ascii="楷体" w:hAnsi="楷体" w:eastAsia="楷体" w:cs="楷体"/>
          <w:b/>
          <w:color w:val="000000" w:themeColor="text1"/>
          <w:sz w:val="24"/>
          <w:szCs w:val="24"/>
          <w14:textFill>
            <w14:solidFill>
              <w14:schemeClr w14:val="tx1"/>
            </w14:solidFill>
          </w14:textFill>
        </w:rPr>
        <w:t>三、外包费用结算支付</w:t>
      </w:r>
      <w:bookmarkEnd w:id="2"/>
    </w:p>
    <w:p w14:paraId="0803D504">
      <w:pPr>
        <w:numPr>
          <w:ilvl w:val="0"/>
          <w:numId w:val="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外包费用结算方式由甲方根据业务需要选定，具体结算标准以下列方式执行：</w:t>
      </w:r>
    </w:p>
    <w:p w14:paraId="57F97E60">
      <w:pPr>
        <w:numPr>
          <w:ilvl w:val="0"/>
          <w:numId w:val="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按人月一口价结算</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对于固定岗位或基础投递人员，采用按人月一口价方式结算。结算标准为：每人每月人民币________元（含税，包含但不限于人员工资、社保、公积金、管理服务费、利润、培训费、劳动防护用品费等全部费用）。</w:t>
      </w:r>
    </w:p>
    <w:p w14:paraId="09F0AB3D">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月度外包费用 = 当月实际在岗人数 × 人月单价。当月实际在岗人数以甲方每日考勤统计的月平均人数为准，具体计算公式为：当月实际在岗人数 = 当月每日在岗人数总和 ÷ 当月自然日天数。</w:t>
      </w:r>
    </w:p>
    <w:p w14:paraId="4BBE73F0">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新招聘人员到岗后，当月服务天数不足一个月的，按实际服务天数折算，计算公式为：人月单价 ÷ 当月自然日天数 × 实际服务天数。</w:t>
      </w:r>
    </w:p>
    <w:p w14:paraId="5A1FF54A">
      <w:pPr>
        <w:numPr>
          <w:ilvl w:val="0"/>
          <w:numId w:val="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考核：甲方每月对乙方进行外包服务考核，所有考核扣款（包括但不限于招聘延误、效能不达标、邮件延误丢失、违反现场管理规定等）均在当月外包费用中直接扣除。具体扣款标准见本合同第六条及附件《外包业务考核标准》。</w:t>
      </w:r>
    </w:p>
    <w:p w14:paraId="2031405C">
      <w:pPr>
        <w:numPr>
          <w:ilvl w:val="0"/>
          <w:numId w:val="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外包费用结算及支付：</w:t>
      </w:r>
    </w:p>
    <w:p w14:paraId="494D143D">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乙方在次月10日前将外包服务费用结算表交给甲方，甲方在5个工作日内进行核对（具体对账时间以甲方通知为准），如有异议，甲方应在收到结算表3个工作日内通知乙方，乙方应立即安排人员进行核对；如无异议，甲方以邮件或书面方式回复乙方。</w:t>
      </w:r>
    </w:p>
    <w:p w14:paraId="787A6BED">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（2）双方核对无误后，乙方应在5个工作日内向甲方开具合法有效的发票，甲方在收到发票后15日内将外包服务费支付至乙方指定的银行账户。</w:t>
      </w:r>
    </w:p>
    <w:p w14:paraId="540D464C">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乙方账户信息：</w:t>
      </w:r>
    </w:p>
    <w:p w14:paraId="52B814EE">
      <w:pPr>
        <w:numPr>
          <w:ilvl w:val="0"/>
          <w:numId w:val="0"/>
        </w:numPr>
        <w:spacing w:before="120" w:after="120" w:line="288" w:lineRule="auto"/>
        <w:ind w:left="0" w:leftChars="0" w:firstLine="84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pacing w:val="120"/>
          <w:kern w:val="0"/>
          <w:sz w:val="24"/>
          <w:szCs w:val="24"/>
          <w:fitText w:val="960" w:id="143226759"/>
          <w14:textFill>
            <w14:solidFill>
              <w14:schemeClr w14:val="tx1"/>
            </w14:solidFill>
          </w14:textFill>
        </w:rPr>
        <w:t>开户</w:t>
      </w:r>
      <w:r>
        <w:rPr>
          <w:rFonts w:hint="eastAsia" w:ascii="楷体" w:hAnsi="楷体" w:eastAsia="楷体" w:cs="楷体"/>
          <w:color w:val="000000" w:themeColor="text1"/>
          <w:spacing w:val="0"/>
          <w:kern w:val="0"/>
          <w:sz w:val="24"/>
          <w:szCs w:val="24"/>
          <w:fitText w:val="960" w:id="143226759"/>
          <w14:textFill>
            <w14:solidFill>
              <w14:schemeClr w14:val="tx1"/>
            </w14:solidFill>
          </w14:textFill>
        </w:rPr>
        <w:t>行</w:t>
      </w:r>
      <w:r>
        <w:rPr>
          <w:rFonts w:hint="eastAsia" w:ascii="楷体" w:hAnsi="楷体" w:eastAsia="楷体" w:cs="楷体"/>
          <w:color w:val="000000" w:themeColor="text1"/>
          <w:sz w:val="24"/>
          <w:szCs w:val="24"/>
          <w14:textFill>
            <w14:solidFill>
              <w14:schemeClr w14:val="tx1"/>
            </w14:solidFill>
          </w14:textFill>
        </w:rPr>
        <w:t>： ________</w:t>
      </w:r>
    </w:p>
    <w:p w14:paraId="7CBCFC0B">
      <w:pPr>
        <w:numPr>
          <w:ilvl w:val="0"/>
          <w:numId w:val="0"/>
        </w:numPr>
        <w:spacing w:before="120" w:after="120" w:line="288" w:lineRule="auto"/>
        <w:ind w:left="0" w:leftChars="0" w:firstLine="84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pacing w:val="120"/>
          <w:kern w:val="0"/>
          <w:sz w:val="24"/>
          <w:szCs w:val="24"/>
          <w:fitText w:val="960" w:id="1046283664"/>
          <w14:textFill>
            <w14:solidFill>
              <w14:schemeClr w14:val="tx1"/>
            </w14:solidFill>
          </w14:textFill>
        </w:rPr>
        <w:t>开户</w:t>
      </w:r>
      <w:r>
        <w:rPr>
          <w:rFonts w:hint="eastAsia" w:ascii="楷体" w:hAnsi="楷体" w:eastAsia="楷体" w:cs="楷体"/>
          <w:color w:val="000000" w:themeColor="text1"/>
          <w:spacing w:val="0"/>
          <w:kern w:val="0"/>
          <w:sz w:val="24"/>
          <w:szCs w:val="24"/>
          <w:fitText w:val="960" w:id="1046283664"/>
          <w14:textFill>
            <w14:solidFill>
              <w14:schemeClr w14:val="tx1"/>
            </w14:solidFill>
          </w14:textFill>
        </w:rPr>
        <w:t>名</w:t>
      </w:r>
      <w:r>
        <w:rPr>
          <w:rFonts w:hint="eastAsia" w:ascii="楷体" w:hAnsi="楷体" w:eastAsia="楷体" w:cs="楷体"/>
          <w:color w:val="000000" w:themeColor="text1"/>
          <w:sz w:val="24"/>
          <w:szCs w:val="24"/>
          <w14:textFill>
            <w14:solidFill>
              <w14:schemeClr w14:val="tx1"/>
            </w14:solidFill>
          </w14:textFill>
        </w:rPr>
        <w:t>： ________</w:t>
      </w:r>
    </w:p>
    <w:p w14:paraId="2A257B1A">
      <w:pPr>
        <w:numPr>
          <w:ilvl w:val="0"/>
          <w:numId w:val="0"/>
        </w:numPr>
        <w:spacing w:before="120" w:after="120" w:line="288" w:lineRule="auto"/>
        <w:ind w:left="0" w:leftChars="0" w:firstLine="840" w:firstLineChars="35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pacing w:val="0"/>
          <w:kern w:val="0"/>
          <w:sz w:val="24"/>
          <w:szCs w:val="24"/>
          <w:fitText w:val="960" w:id="1720789620"/>
          <w14:textFill>
            <w14:solidFill>
              <w14:schemeClr w14:val="tx1"/>
            </w14:solidFill>
          </w14:textFill>
        </w:rPr>
        <w:t>银行账号</w:t>
      </w:r>
      <w:r>
        <w:rPr>
          <w:rFonts w:hint="eastAsia" w:ascii="楷体" w:hAnsi="楷体" w:eastAsia="楷体" w:cs="楷体"/>
          <w:color w:val="000000" w:themeColor="text1"/>
          <w:sz w:val="24"/>
          <w:szCs w:val="24"/>
          <w14:textFill>
            <w14:solidFill>
              <w14:schemeClr w14:val="tx1"/>
            </w14:solidFill>
          </w14:textFill>
        </w:rPr>
        <w:t>： ________</w:t>
      </w:r>
    </w:p>
    <w:p w14:paraId="08DB54E3">
      <w:pPr>
        <w:numPr>
          <w:ilvl w:val="0"/>
          <w:numId w:val="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乙方逾期提供发票、提供发票不符合约定、或者开具的发票未被税务机关认可的，甲方有权拒绝支付外包服务费用，且不承担任何违约责任，同时乙方不得以此为由拒绝履行本合同项下的义务。</w:t>
      </w:r>
    </w:p>
    <w:p w14:paraId="0119886D">
      <w:pPr>
        <w:numPr>
          <w:ilvl w:val="0"/>
          <w:numId w:val="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在本合同履行过程中，若甲方对乙方开具的发票有疑问，甲方有权及时委托有资质的鉴定机构对发票进行鉴定，乙方应当配合甲方进行鉴定。若鉴定发票是假的，则鉴定费用由乙方承担，且乙方须另行向甲方开具合法有效的发票，并赔偿甲方由此受到的损失（包括但不限于：甲方不能在企业所得税税前抵扣的损失、税务机关的罚款等）。</w:t>
      </w:r>
    </w:p>
    <w:p w14:paraId="5D1CB852">
      <w:pPr>
        <w:numPr>
          <w:ilvl w:val="0"/>
          <w:numId w:val="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乙方确保发票真实无误且合法有效，如发票出现任何问题，由乙方承担责任，赔偿甲方由此遭受的全部损失。</w:t>
      </w:r>
    </w:p>
    <w:p w14:paraId="1CC53D13">
      <w:pPr>
        <w:numPr>
          <w:ilvl w:val="0"/>
          <w:numId w:val="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在本合同履行过程中，如国家有任何税率调整，以国家规定的税率为准，且本合同的不含税价保持不变。</w:t>
      </w:r>
    </w:p>
    <w:p w14:paraId="12750DBC">
      <w:pPr>
        <w:spacing w:before="300" w:after="120" w:line="288" w:lineRule="auto"/>
        <w:ind w:left="0"/>
        <w:jc w:val="left"/>
        <w:outlineLvl w:val="2"/>
        <w:rPr>
          <w:rFonts w:hint="eastAsia" w:ascii="楷体" w:hAnsi="楷体" w:eastAsia="楷体" w:cs="楷体"/>
          <w:color w:val="000000" w:themeColor="text1"/>
          <w:sz w:val="24"/>
          <w:szCs w:val="24"/>
          <w14:textFill>
            <w14:solidFill>
              <w14:schemeClr w14:val="tx1"/>
            </w14:solidFill>
          </w14:textFill>
        </w:rPr>
      </w:pPr>
      <w:bookmarkStart w:id="3" w:name="heading_3"/>
      <w:r>
        <w:rPr>
          <w:rFonts w:hint="eastAsia" w:ascii="楷体" w:hAnsi="楷体" w:eastAsia="楷体" w:cs="楷体"/>
          <w:b/>
          <w:color w:val="000000" w:themeColor="text1"/>
          <w:sz w:val="24"/>
          <w:szCs w:val="24"/>
          <w14:textFill>
            <w14:solidFill>
              <w14:schemeClr w14:val="tx1"/>
            </w14:solidFill>
          </w14:textFill>
        </w:rPr>
        <w:t>四、甲方的权利和义务</w:t>
      </w:r>
      <w:bookmarkEnd w:id="3"/>
    </w:p>
    <w:p w14:paraId="765D3A50">
      <w:pPr>
        <w:numPr>
          <w:ilvl w:val="0"/>
          <w:numId w:val="4"/>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甲方有权了解、监督乙方项目工作的开展情况，并依据附件考核内容对乙方的工作进行考核，考核结果与外包费用挂钩。每月可由甲方对乙方的项目管理工作进行评价，促进乙方及时处理工作中的不足和问题。</w:t>
      </w:r>
    </w:p>
    <w:p w14:paraId="7640AF85">
      <w:pPr>
        <w:numPr>
          <w:ilvl w:val="0"/>
          <w:numId w:val="5"/>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甲方有权对乙方</w:t>
      </w:r>
      <w:r>
        <w:rPr>
          <w:rFonts w:hint="eastAsia" w:ascii="楷体" w:hAnsi="楷体" w:eastAsia="楷体" w:cs="楷体"/>
          <w:color w:val="000000" w:themeColor="text1"/>
          <w:sz w:val="24"/>
          <w:szCs w:val="24"/>
          <w:lang w:val="en-US" w:eastAsia="zh-CN"/>
          <w14:textFill>
            <w14:solidFill>
              <w14:schemeClr w14:val="tx1"/>
            </w14:solidFill>
          </w14:textFill>
        </w:rPr>
        <w:t>的</w:t>
      </w:r>
      <w:r>
        <w:rPr>
          <w:rFonts w:hint="eastAsia" w:ascii="楷体" w:hAnsi="楷体" w:eastAsia="楷体" w:cs="楷体"/>
          <w:color w:val="000000" w:themeColor="text1"/>
          <w:sz w:val="24"/>
          <w:szCs w:val="24"/>
          <w14:textFill>
            <w14:solidFill>
              <w14:schemeClr w14:val="tx1"/>
            </w14:solidFill>
          </w14:textFill>
        </w:rPr>
        <w:t>服务</w:t>
      </w:r>
      <w:r>
        <w:rPr>
          <w:rFonts w:hint="eastAsia" w:ascii="楷体" w:hAnsi="楷体" w:eastAsia="楷体" w:cs="楷体"/>
          <w:color w:val="000000" w:themeColor="text1"/>
          <w:sz w:val="24"/>
          <w:szCs w:val="24"/>
          <w:lang w:val="en-US" w:eastAsia="zh-CN"/>
          <w14:textFill>
            <w14:solidFill>
              <w14:schemeClr w14:val="tx1"/>
            </w14:solidFill>
          </w14:textFill>
        </w:rPr>
        <w:t>内容</w:t>
      </w:r>
      <w:r>
        <w:rPr>
          <w:rFonts w:hint="eastAsia" w:ascii="楷体" w:hAnsi="楷体" w:eastAsia="楷体" w:cs="楷体"/>
          <w:color w:val="000000" w:themeColor="text1"/>
          <w:sz w:val="24"/>
          <w:szCs w:val="24"/>
          <w14:textFill>
            <w14:solidFill>
              <w14:schemeClr w14:val="tx1"/>
            </w14:solidFill>
          </w14:textFill>
        </w:rPr>
        <w:t>进行临时工作调整，乙方</w:t>
      </w:r>
      <w:r>
        <w:rPr>
          <w:rFonts w:hint="eastAsia" w:ascii="楷体" w:hAnsi="楷体" w:eastAsia="楷体" w:cs="楷体"/>
          <w:color w:val="000000" w:themeColor="text1"/>
          <w:sz w:val="24"/>
          <w:szCs w:val="24"/>
          <w:lang w:val="en-US" w:eastAsia="zh-CN"/>
          <w14:textFill>
            <w14:solidFill>
              <w14:schemeClr w14:val="tx1"/>
            </w14:solidFill>
          </w14:textFill>
        </w:rPr>
        <w:t>应负责协调其</w:t>
      </w:r>
      <w:r>
        <w:rPr>
          <w:rFonts w:hint="eastAsia" w:ascii="楷体" w:hAnsi="楷体" w:eastAsia="楷体" w:cs="楷体"/>
          <w:color w:val="000000" w:themeColor="text1"/>
          <w:sz w:val="24"/>
          <w:szCs w:val="24"/>
          <w14:textFill>
            <w14:solidFill>
              <w14:schemeClr w14:val="tx1"/>
            </w14:solidFill>
          </w14:textFill>
        </w:rPr>
        <w:t>指派的服务人员</w:t>
      </w:r>
      <w:r>
        <w:rPr>
          <w:rFonts w:hint="eastAsia" w:ascii="楷体" w:hAnsi="楷体" w:eastAsia="楷体" w:cs="楷体"/>
          <w:color w:val="000000" w:themeColor="text1"/>
          <w:sz w:val="24"/>
          <w:szCs w:val="24"/>
          <w:lang w:val="en-US" w:eastAsia="zh-CN"/>
          <w14:textFill>
            <w14:solidFill>
              <w14:schemeClr w14:val="tx1"/>
            </w14:solidFill>
          </w14:textFill>
        </w:rPr>
        <w:t>以满足甲方的临时工作安排</w:t>
      </w:r>
      <w:r>
        <w:rPr>
          <w:rFonts w:hint="eastAsia" w:ascii="楷体" w:hAnsi="楷体" w:eastAsia="楷体" w:cs="楷体"/>
          <w:color w:val="000000" w:themeColor="text1"/>
          <w:sz w:val="24"/>
          <w:szCs w:val="24"/>
          <w14:textFill>
            <w14:solidFill>
              <w14:schemeClr w14:val="tx1"/>
            </w14:solidFill>
          </w14:textFill>
        </w:rPr>
        <w:t>。</w:t>
      </w:r>
    </w:p>
    <w:p w14:paraId="1C811A98">
      <w:pPr>
        <w:numPr>
          <w:ilvl w:val="0"/>
          <w:numId w:val="6"/>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甲方在合作过程中，如发现乙方指派的服务人员不能胜任工作或不符合甲方工作要求，甲方有权向乙方提出更换，乙方应当按照甲方要求更换人员。</w:t>
      </w:r>
    </w:p>
    <w:p w14:paraId="0DC89E3C">
      <w:pPr>
        <w:numPr>
          <w:ilvl w:val="0"/>
          <w:numId w:val="7"/>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根据工作实际需要为乙方指派的服务人员提供必要的劳动防护用品。</w:t>
      </w:r>
    </w:p>
    <w:p w14:paraId="4817B0FB">
      <w:pPr>
        <w:numPr>
          <w:ilvl w:val="0"/>
          <w:numId w:val="8"/>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甲方应按时向乙方支付外包服务费用。</w:t>
      </w:r>
    </w:p>
    <w:p w14:paraId="5C0C3970">
      <w:pPr>
        <w:spacing w:before="300" w:after="120" w:line="288" w:lineRule="auto"/>
        <w:ind w:left="0"/>
        <w:jc w:val="left"/>
        <w:outlineLvl w:val="2"/>
        <w:rPr>
          <w:rFonts w:hint="eastAsia" w:ascii="楷体" w:hAnsi="楷体" w:eastAsia="楷体" w:cs="楷体"/>
          <w:color w:val="000000" w:themeColor="text1"/>
          <w:sz w:val="24"/>
          <w:szCs w:val="24"/>
          <w14:textFill>
            <w14:solidFill>
              <w14:schemeClr w14:val="tx1"/>
            </w14:solidFill>
          </w14:textFill>
        </w:rPr>
      </w:pPr>
      <w:bookmarkStart w:id="4" w:name="heading_4"/>
      <w:r>
        <w:rPr>
          <w:rFonts w:hint="eastAsia" w:ascii="楷体" w:hAnsi="楷体" w:eastAsia="楷体" w:cs="楷体"/>
          <w:b/>
          <w:color w:val="000000" w:themeColor="text1"/>
          <w:sz w:val="24"/>
          <w:szCs w:val="24"/>
          <w14:textFill>
            <w14:solidFill>
              <w14:schemeClr w14:val="tx1"/>
            </w14:solidFill>
          </w14:textFill>
        </w:rPr>
        <w:t>五、乙方的权利和义务</w:t>
      </w:r>
      <w:bookmarkEnd w:id="4"/>
    </w:p>
    <w:p w14:paraId="0B7CB60D">
      <w:pPr>
        <w:numPr>
          <w:ilvl w:val="0"/>
          <w:numId w:val="9"/>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负责项目内部日常管理工作，包括现场作业管理、质量检查、员工培训教育、服务人员排班、工作任务分配、投诉处理、考勤、工资发放、绩效考核等。</w:t>
      </w:r>
    </w:p>
    <w:p w14:paraId="416D9576">
      <w:pPr>
        <w:numPr>
          <w:ilvl w:val="0"/>
          <w:numId w:val="10"/>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指派的服务人员应热爱本职工作</w:t>
      </w:r>
      <w:r>
        <w:rPr>
          <w:rFonts w:hint="eastAsia" w:ascii="楷体" w:hAnsi="楷体" w:eastAsia="楷体" w:cs="楷体"/>
          <w:color w:val="000000" w:themeColor="text1"/>
          <w:sz w:val="24"/>
          <w:szCs w:val="24"/>
          <w:lang w:eastAsia="zh"/>
          <w14:textFill>
            <w14:solidFill>
              <w14:schemeClr w14:val="tx1"/>
            </w14:solidFill>
          </w14:textFill>
          <w:woUserID w:val="2"/>
        </w:rPr>
        <w:t>，具备良好的服务意识</w:t>
      </w:r>
      <w:r>
        <w:rPr>
          <w:rFonts w:hint="eastAsia" w:ascii="楷体" w:hAnsi="楷体" w:eastAsia="楷体" w:cs="楷体"/>
          <w:color w:val="000000" w:themeColor="text1"/>
          <w:sz w:val="24"/>
          <w:szCs w:val="24"/>
          <w14:textFill>
            <w14:solidFill>
              <w14:schemeClr w14:val="tx1"/>
            </w14:solidFill>
          </w14:textFill>
        </w:rPr>
        <w:t>。由于指派的服务人员向第三方提供劳务造成甲方或第三方损失的，乙方应当承担赔偿责任。</w:t>
      </w:r>
    </w:p>
    <w:p w14:paraId="26DC4AA5">
      <w:pPr>
        <w:numPr>
          <w:ilvl w:val="0"/>
          <w:numId w:val="11"/>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应建立健全作业标准操作流程及管理考核制度，做好生产质量的监督管理及改进。</w:t>
      </w:r>
    </w:p>
    <w:p w14:paraId="1786B062">
      <w:pPr>
        <w:numPr>
          <w:ilvl w:val="0"/>
          <w:numId w:val="12"/>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乙方应按照甲方外包业务的服务标准，对指派的服务人员进行培训，确保指派的服务人员严格遵照该标准向甲方提供服务。</w:t>
      </w:r>
    </w:p>
    <w:p w14:paraId="2CCE46BD">
      <w:pPr>
        <w:numPr>
          <w:ilvl w:val="0"/>
          <w:numId w:val="1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应负责管理本项目所指派的服务人员，按法律规定与指派的服务人员建立劳动关系，签订劳动合同，并负责办理社保、发放劳动报酬等事务，服务人员的社保、医保、住房公积、劳动报酬由乙方负责，与甲方无关。乙方未及时、足额为服务人员支付劳动报酬、办理社保、医保、住房公积金等的，由此引发劳动争议的，由乙方承担全部责任。</w:t>
      </w:r>
    </w:p>
    <w:p w14:paraId="4272F421">
      <w:pPr>
        <w:numPr>
          <w:ilvl w:val="0"/>
          <w:numId w:val="14"/>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在本合同履行过程中，指派的服务人员遭受人身伤害或造成他人人身、财产损害的，乙方应当承担全部赔偿责任。</w:t>
      </w:r>
    </w:p>
    <w:p w14:paraId="2E9EFE7B">
      <w:pPr>
        <w:numPr>
          <w:ilvl w:val="0"/>
          <w:numId w:val="15"/>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乙方不得在本合同合作期限内及合同终止或解除后，招聘甲方员工。</w:t>
      </w:r>
    </w:p>
    <w:p w14:paraId="4F66F505">
      <w:pPr>
        <w:numPr>
          <w:ilvl w:val="0"/>
          <w:numId w:val="16"/>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乙方应保管好邮件</w:t>
      </w:r>
      <w:r>
        <w:rPr>
          <w:rFonts w:hint="eastAsia" w:ascii="楷体" w:hAnsi="楷体" w:eastAsia="楷体" w:cs="楷体"/>
          <w:color w:val="000000" w:themeColor="text1"/>
          <w:sz w:val="24"/>
          <w:szCs w:val="24"/>
          <w:lang w:eastAsia="zh"/>
          <w14:textFill>
            <w14:solidFill>
              <w14:schemeClr w14:val="tx1"/>
            </w14:solidFill>
          </w14:textFill>
          <w:woUserID w:val="2"/>
        </w:rPr>
        <w:t>及配送货物</w:t>
      </w:r>
      <w:r>
        <w:rPr>
          <w:rFonts w:hint="eastAsia" w:ascii="楷体" w:hAnsi="楷体" w:eastAsia="楷体" w:cs="楷体"/>
          <w:color w:val="000000" w:themeColor="text1"/>
          <w:sz w:val="24"/>
          <w:szCs w:val="24"/>
          <w14:textFill>
            <w14:solidFill>
              <w14:schemeClr w14:val="tx1"/>
            </w14:solidFill>
          </w14:textFill>
        </w:rPr>
        <w:t>，如发生邮件延误、丢失、损毁等情况的，经甲乙双方确认后，由乙方按照</w:t>
      </w:r>
      <w:r>
        <w:rPr>
          <w:rFonts w:hint="eastAsia" w:ascii="楷体" w:hAnsi="楷体" w:eastAsia="楷体" w:cs="楷体"/>
          <w:color w:val="000000" w:themeColor="text1"/>
          <w:sz w:val="24"/>
          <w:szCs w:val="24"/>
          <w:lang w:eastAsia="zh"/>
          <w14:textFill>
            <w14:solidFill>
              <w14:schemeClr w14:val="tx1"/>
            </w14:solidFill>
          </w14:textFill>
          <w:woUserID w:val="2"/>
        </w:rPr>
        <w:t>对应的快递网点或</w:t>
      </w:r>
      <w:r>
        <w:rPr>
          <w:rFonts w:hint="eastAsia" w:ascii="楷体" w:hAnsi="楷体" w:eastAsia="楷体" w:cs="楷体"/>
          <w:color w:val="000000" w:themeColor="text1"/>
          <w:sz w:val="24"/>
          <w:szCs w:val="24"/>
          <w14:textFill>
            <w14:solidFill>
              <w14:schemeClr w14:val="tx1"/>
            </w14:solidFill>
          </w14:textFill>
        </w:rPr>
        <w:t>集团公司</w:t>
      </w:r>
      <w:r>
        <w:rPr>
          <w:rFonts w:hint="eastAsia" w:ascii="楷体" w:hAnsi="楷体" w:eastAsia="楷体" w:cs="楷体"/>
          <w:color w:val="000000" w:themeColor="text1"/>
          <w:sz w:val="24"/>
          <w:szCs w:val="24"/>
          <w:lang w:eastAsia="zh"/>
          <w14:textFill>
            <w14:solidFill>
              <w14:schemeClr w14:val="tx1"/>
            </w14:solidFill>
          </w14:textFill>
          <w:woUserID w:val="2"/>
        </w:rPr>
        <w:t>（如圆通、申通、中通等）</w:t>
      </w:r>
      <w:r>
        <w:rPr>
          <w:rFonts w:hint="eastAsia" w:ascii="楷体" w:hAnsi="楷体" w:eastAsia="楷体" w:cs="楷体"/>
          <w:color w:val="000000" w:themeColor="text1"/>
          <w:sz w:val="24"/>
          <w:szCs w:val="24"/>
          <w14:textFill>
            <w14:solidFill>
              <w14:schemeClr w14:val="tx1"/>
            </w14:solidFill>
          </w14:textFill>
        </w:rPr>
        <w:t>及邮政管理部门的相关规定在三个工作日内赔偿。</w:t>
      </w:r>
    </w:p>
    <w:p w14:paraId="4F077CB7">
      <w:pPr>
        <w:numPr>
          <w:ilvl w:val="0"/>
          <w:numId w:val="17"/>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对于投递员代收的款项（货到付款、各类业务工本费等），乙方应当督促投递员按规定及时将上述款项缴存到甲方指定账户，严禁挪用、拖欠。如果投递员未按规定缴存的，乙方应当将未缴存款项在5个工作日内支付给甲方。</w:t>
      </w:r>
    </w:p>
    <w:p w14:paraId="75575E97">
      <w:pPr>
        <w:numPr>
          <w:ilvl w:val="0"/>
          <w:numId w:val="18"/>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乙方应当按月支付投递人员工资，每月20日前将上月服务人员工资发放情况（发放对象、数额、银行转账凭据等）报甲方备案，保证乙方服务人员劳资关系和谐。</w:t>
      </w:r>
    </w:p>
    <w:p w14:paraId="488F10F4">
      <w:pPr>
        <w:numPr>
          <w:ilvl w:val="0"/>
          <w:numId w:val="19"/>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由于乙方原因造成甲方与</w:t>
      </w:r>
      <w:r>
        <w:rPr>
          <w:rFonts w:hint="eastAsia" w:ascii="楷体" w:hAnsi="楷体" w:eastAsia="楷体" w:cs="楷体"/>
          <w:color w:val="000000" w:themeColor="text1"/>
          <w:sz w:val="24"/>
          <w:szCs w:val="24"/>
          <w:lang w:val="en-US" w:eastAsia="zh-CN"/>
          <w14:textFill>
            <w14:solidFill>
              <w14:schemeClr w14:val="tx1"/>
            </w14:solidFill>
          </w14:textFill>
        </w:rPr>
        <w:t>乙方服务</w:t>
      </w:r>
      <w:r>
        <w:rPr>
          <w:rFonts w:hint="eastAsia" w:ascii="楷体" w:hAnsi="楷体" w:eastAsia="楷体" w:cs="楷体"/>
          <w:color w:val="000000" w:themeColor="text1"/>
          <w:sz w:val="24"/>
          <w:szCs w:val="24"/>
          <w14:textFill>
            <w14:solidFill>
              <w14:schemeClr w14:val="tx1"/>
            </w14:solidFill>
          </w14:textFill>
        </w:rPr>
        <w:t>人员劳动争议或引起其他纠纷，乙方负责解决，并赔偿由此给甲方造成的损失</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包括但不限于甲方应诉所支出的仲裁费用/诉讼费用、保全费、律师费等</w:t>
      </w:r>
      <w:r>
        <w:rPr>
          <w:rFonts w:hint="eastAsia" w:ascii="楷体" w:hAnsi="楷体" w:eastAsia="楷体" w:cs="楷体"/>
          <w:color w:val="000000" w:themeColor="text1"/>
          <w:sz w:val="24"/>
          <w:szCs w:val="24"/>
          <w14:textFill>
            <w14:solidFill>
              <w14:schemeClr w14:val="tx1"/>
            </w14:solidFill>
          </w14:textFill>
        </w:rPr>
        <w:t>。如各种原因导致乙方指派的服务人员向甲方主张劳动报酬、社会保险、经济补偿待遇等，乙方应当及时采取有效应对措施，确保甲方不因此遭受损失。如甲方已经向服务人员先行支付了相关款项，乙方应当立即予以足额赔偿</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甲方有权从本合同的未付款项中直接扣除</w:t>
      </w:r>
      <w:r>
        <w:rPr>
          <w:rFonts w:hint="eastAsia" w:ascii="楷体" w:hAnsi="楷体" w:eastAsia="楷体" w:cs="楷体"/>
          <w:color w:val="000000" w:themeColor="text1"/>
          <w:sz w:val="24"/>
          <w:szCs w:val="24"/>
          <w14:textFill>
            <w14:solidFill>
              <w14:schemeClr w14:val="tx1"/>
            </w14:solidFill>
          </w14:textFill>
        </w:rPr>
        <w:t>。</w:t>
      </w:r>
    </w:p>
    <w:p w14:paraId="47CBC48B">
      <w:pPr>
        <w:numPr>
          <w:ilvl w:val="0"/>
          <w:numId w:val="20"/>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如因乙方或乙方指派的服务人员的原因，使甲方卷入劳动、合同等纠纷，造成甲方经济损失的，乙方应予以足额赔偿。</w:t>
      </w:r>
    </w:p>
    <w:p w14:paraId="7B1D090C">
      <w:pPr>
        <w:numPr>
          <w:ilvl w:val="0"/>
          <w:numId w:val="21"/>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乙方承担保密义务，保密信息包括但不限于：甲方企业经营信息、甲方服务人员的个人信息、邮件服务信息等。</w:t>
      </w:r>
    </w:p>
    <w:p w14:paraId="5EF2A41C">
      <w:pPr>
        <w:numPr>
          <w:ilvl w:val="0"/>
          <w:numId w:val="22"/>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人员招聘与储备义务：</w:t>
      </w:r>
    </w:p>
    <w:p w14:paraId="54826968">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（1）乙方应保证项目人员的稳定性和充足性。合同签订后，乙方应在收到甲方需求通知（以书面、邮件或微信通知为准）的___个工作日内完成所需快递员的招聘、体检及岗前培训，并确保人员全部到岗。</w:t>
      </w:r>
    </w:p>
    <w:p w14:paraId="06C00322">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（2）合同履行期间，如出现人员流失，乙方应在人员离职当日告知甲方，并在收到甲方人员增补通知（以书面、邮件或微信通知为准）后___个工作日内，按照甲方要求的数量、条件将合格人员补充到位。</w:t>
      </w:r>
    </w:p>
    <w:p w14:paraId="651D03D0">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乙方应建立不少于项目总人数10%的动态人才储备库或备用人员名单，以应对突发性人员缺口，确保在任何情况下，次日到岗人员不低于甲方核定编制人数的95%。若当月任何一日到岗人数低于核定编制人数的95%，每低1个百分点（不足1%按1%计），甲方有权在当月外包费用中扣除【500元】作为违约金。</w:t>
      </w:r>
    </w:p>
    <w:p w14:paraId="270A3351">
      <w:pPr>
        <w:numPr>
          <w:ilvl w:val="0"/>
          <w:numId w:val="0"/>
        </w:numPr>
        <w:pBdr>
          <w:bottom w:val="none" w:color="auto" w:sz="0" w:space="0"/>
          <w:between w:val="none" w:color="auto" w:sz="0" w:space="0"/>
        </w:pBdr>
        <w:spacing w:before="120" w:after="120" w:line="288" w:lineRule="auto"/>
        <w:ind w:left="0"/>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lang w:eastAsia="zh"/>
          <w14:textFill>
            <w14:solidFill>
              <w14:schemeClr w14:val="tx1"/>
            </w14:solidFill>
          </w14:textFill>
          <w:woUserID w:val="2"/>
        </w:rPr>
        <w:t>15. 乙方应确保招聘人员可办理个体工商户（物流运输或装卸搬运类）并取得营业执照。</w:t>
      </w:r>
    </w:p>
    <w:p w14:paraId="424FE0E2">
      <w:pPr>
        <w:spacing w:before="300" w:after="120" w:line="288" w:lineRule="auto"/>
        <w:ind w:left="0"/>
        <w:jc w:val="left"/>
        <w:outlineLvl w:val="2"/>
        <w:rPr>
          <w:rFonts w:hint="eastAsia" w:ascii="楷体" w:hAnsi="楷体" w:eastAsia="楷体" w:cs="楷体"/>
          <w:color w:val="000000" w:themeColor="text1"/>
          <w:sz w:val="24"/>
          <w:szCs w:val="24"/>
          <w14:textFill>
            <w14:solidFill>
              <w14:schemeClr w14:val="tx1"/>
            </w14:solidFill>
          </w14:textFill>
        </w:rPr>
      </w:pPr>
      <w:bookmarkStart w:id="5" w:name="heading_5"/>
      <w:r>
        <w:rPr>
          <w:rFonts w:hint="eastAsia" w:ascii="楷体" w:hAnsi="楷体" w:eastAsia="楷体" w:cs="楷体"/>
          <w:b/>
          <w:color w:val="000000" w:themeColor="text1"/>
          <w:sz w:val="24"/>
          <w:szCs w:val="24"/>
          <w14:textFill>
            <w14:solidFill>
              <w14:schemeClr w14:val="tx1"/>
            </w14:solidFill>
          </w14:textFill>
        </w:rPr>
        <w:t>六、违约责任</w:t>
      </w:r>
      <w:bookmarkEnd w:id="5"/>
    </w:p>
    <w:p w14:paraId="2A7A6C1E">
      <w:pPr>
        <w:numPr>
          <w:ilvl w:val="0"/>
          <w:numId w:val="2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bookmarkStart w:id="6" w:name="heading_6"/>
      <w:r>
        <w:rPr>
          <w:rFonts w:hint="eastAsia" w:ascii="楷体" w:hAnsi="楷体" w:eastAsia="楷体" w:cs="楷体"/>
          <w:color w:val="000000" w:themeColor="text1"/>
          <w:sz w:val="24"/>
          <w:szCs w:val="24"/>
          <w14:textFill>
            <w14:solidFill>
              <w14:schemeClr w14:val="tx1"/>
            </w14:solidFill>
          </w14:textFill>
        </w:rPr>
        <w:t>一般性违约</w:t>
      </w:r>
      <w:bookmarkEnd w:id="6"/>
    </w:p>
    <w:p w14:paraId="3F11D2EC">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违反本合同约定，但未造成严重后果的，甲方有权要求乙方限期整改，并根据本条第6.3款的约定扣除违约金。乙方在甲方要求的合理期限内未完成整改或整改后仍不符合要求的，视为新的违约行为，可再次计扣违约金。</w:t>
      </w:r>
    </w:p>
    <w:p w14:paraId="20A38E15">
      <w:pPr>
        <w:numPr>
          <w:ilvl w:val="0"/>
          <w:numId w:val="2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bookmarkStart w:id="7" w:name="heading_7"/>
      <w:r>
        <w:rPr>
          <w:rFonts w:hint="eastAsia" w:ascii="楷体" w:hAnsi="楷体" w:eastAsia="楷体" w:cs="楷体"/>
          <w:color w:val="000000" w:themeColor="text1"/>
          <w:sz w:val="24"/>
          <w:szCs w:val="24"/>
          <w14:textFill>
            <w14:solidFill>
              <w14:schemeClr w14:val="tx1"/>
            </w14:solidFill>
          </w14:textFill>
        </w:rPr>
        <w:t>根本性违约</w:t>
      </w:r>
      <w:bookmarkEnd w:id="7"/>
    </w:p>
    <w:p w14:paraId="16D2AA09">
      <w:p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乙方发生下列情形之一的，甲方有权单方面解除合同，并要求乙方按照</w:t>
      </w:r>
      <w:r>
        <w:rPr>
          <w:rFonts w:hint="eastAsia" w:ascii="楷体" w:hAnsi="楷体" w:eastAsia="楷体" w:cs="楷体"/>
          <w:color w:val="000000" w:themeColor="text1"/>
          <w:sz w:val="24"/>
          <w:szCs w:val="24"/>
          <w:lang w:val="en-US" w:eastAsia="zh-CN"/>
          <w14:textFill>
            <w14:solidFill>
              <w14:schemeClr w14:val="tx1"/>
            </w14:solidFill>
          </w14:textFill>
        </w:rPr>
        <w:t>已产生的</w:t>
      </w:r>
      <w:r>
        <w:rPr>
          <w:rFonts w:hint="eastAsia" w:ascii="楷体" w:hAnsi="楷体" w:eastAsia="楷体" w:cs="楷体"/>
          <w:color w:val="000000" w:themeColor="text1"/>
          <w:sz w:val="24"/>
          <w:szCs w:val="24"/>
          <w14:textFill>
            <w14:solidFill>
              <w14:schemeClr w14:val="tx1"/>
            </w14:solidFill>
          </w14:textFill>
        </w:rPr>
        <w:t>外包费用总额的20%支付违约金，违约金不足以弥补甲方损失的，乙方还应赔偿甲方的全部损失：</w:t>
      </w:r>
    </w:p>
    <w:p w14:paraId="18494233">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1</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未经甲方书面同意，将本合同项下义务转包或分包的；</w:t>
      </w:r>
    </w:p>
    <w:p w14:paraId="75ACD9AB">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2</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未经甲方许可，私自向第三方透露甲方保密信息（包括但不限于技术、质量、商务、成本、规划等）的；</w:t>
      </w:r>
    </w:p>
    <w:p w14:paraId="4DBF0AA4">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3</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向甲方的员工行贿的；</w:t>
      </w:r>
    </w:p>
    <w:p w14:paraId="0677FFA8">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4</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连续</w:t>
      </w:r>
      <w:r>
        <w:rPr>
          <w:rFonts w:hint="eastAsia" w:ascii="楷体" w:hAnsi="楷体" w:eastAsia="楷体" w:cs="楷体"/>
          <w:color w:val="000000" w:themeColor="text1"/>
          <w:sz w:val="24"/>
          <w:szCs w:val="24"/>
          <w:u w:val="single"/>
          <w14:textFill>
            <w14:solidFill>
              <w14:schemeClr w14:val="tx1"/>
            </w14:solidFill>
          </w14:textFill>
        </w:rPr>
        <w:t>3</w:t>
      </w:r>
      <w:r>
        <w:rPr>
          <w:rFonts w:hint="eastAsia" w:ascii="楷体" w:hAnsi="楷体" w:eastAsia="楷体" w:cs="楷体"/>
          <w:color w:val="000000" w:themeColor="text1"/>
          <w:sz w:val="24"/>
          <w:szCs w:val="24"/>
          <w14:textFill>
            <w14:solidFill>
              <w14:schemeClr w14:val="tx1"/>
            </w14:solidFill>
          </w14:textFill>
        </w:rPr>
        <w:t>次发生本条第6.3款所列同一类违约行为的；</w:t>
      </w:r>
    </w:p>
    <w:p w14:paraId="3F207B5A">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5</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因乙方原因导致邮件大量积压、丢失或引发重大客户群体投诉，严重损害甲方企业形象的；</w:t>
      </w:r>
    </w:p>
    <w:p w14:paraId="77AFF125">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6</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因乙方原因导致甲方卷入劳动仲裁或诉讼，给甲方造成严重不良影响的。</w:t>
      </w:r>
    </w:p>
    <w:p w14:paraId="627E72CC">
      <w:pPr>
        <w:numPr>
          <w:ilvl w:val="0"/>
          <w:numId w:val="2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bookmarkStart w:id="8" w:name="heading_8"/>
      <w:r>
        <w:rPr>
          <w:rFonts w:hint="eastAsia" w:ascii="楷体" w:hAnsi="楷体" w:eastAsia="楷体" w:cs="楷体"/>
          <w:color w:val="000000" w:themeColor="text1"/>
          <w:sz w:val="24"/>
          <w:szCs w:val="24"/>
          <w14:textFill>
            <w14:solidFill>
              <w14:schemeClr w14:val="tx1"/>
            </w14:solidFill>
          </w14:textFill>
        </w:rPr>
        <w:t>违约行为与违约金标准</w:t>
      </w:r>
      <w:bookmarkEnd w:id="8"/>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请见附件四。</w:t>
      </w:r>
    </w:p>
    <w:p w14:paraId="6A51ED6C">
      <w:pPr>
        <w:spacing w:before="300" w:after="120" w:line="288" w:lineRule="auto"/>
        <w:ind w:left="0"/>
        <w:jc w:val="left"/>
        <w:outlineLvl w:val="2"/>
        <w:rPr>
          <w:rFonts w:hint="eastAsia" w:ascii="楷体" w:hAnsi="楷体" w:eastAsia="楷体" w:cs="楷体"/>
          <w:color w:val="000000" w:themeColor="text1"/>
          <w:sz w:val="24"/>
          <w:szCs w:val="24"/>
          <w14:textFill>
            <w14:solidFill>
              <w14:schemeClr w14:val="tx1"/>
            </w14:solidFill>
          </w14:textFill>
        </w:rPr>
      </w:pPr>
      <w:bookmarkStart w:id="9" w:name="heading_9"/>
      <w:r>
        <w:rPr>
          <w:rFonts w:hint="eastAsia" w:ascii="楷体" w:hAnsi="楷体" w:eastAsia="楷体" w:cs="楷体"/>
          <w:b/>
          <w:color w:val="000000" w:themeColor="text1"/>
          <w:sz w:val="24"/>
          <w:szCs w:val="24"/>
          <w14:textFill>
            <w14:solidFill>
              <w14:schemeClr w14:val="tx1"/>
            </w14:solidFill>
          </w14:textFill>
        </w:rPr>
        <w:t>七、特别约定</w:t>
      </w:r>
      <w:bookmarkEnd w:id="9"/>
    </w:p>
    <w:p w14:paraId="23B3E5B3">
      <w:pPr>
        <w:numPr>
          <w:ilvl w:val="0"/>
          <w:numId w:val="24"/>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w:t>
      </w:r>
      <w:r>
        <w:rPr>
          <w:rFonts w:hint="eastAsia" w:ascii="楷体" w:hAnsi="楷体" w:eastAsia="楷体" w:cs="楷体"/>
          <w:color w:val="000000" w:themeColor="text1"/>
          <w:sz w:val="24"/>
          <w:szCs w:val="24"/>
          <w:lang w:eastAsia="zh"/>
          <w14:textFill>
            <w14:solidFill>
              <w14:schemeClr w14:val="tx1"/>
            </w14:solidFill>
          </w14:textFill>
          <w:woUserID w:val="1"/>
        </w:rPr>
        <w:t>人员试岗期</w:t>
      </w:r>
      <w:r>
        <w:rPr>
          <w:rFonts w:hint="eastAsia" w:ascii="楷体" w:hAnsi="楷体" w:eastAsia="楷体" w:cs="楷体"/>
          <w:color w:val="000000" w:themeColor="text1"/>
          <w:sz w:val="24"/>
          <w:szCs w:val="24"/>
          <w14:textFill>
            <w14:solidFill>
              <w14:schemeClr w14:val="tx1"/>
            </w14:solidFill>
          </w14:textFill>
        </w:rPr>
        <w:t>】</w:t>
      </w:r>
    </w:p>
    <w:p w14:paraId="09992B03">
      <w:pPr>
        <w:numPr>
          <w:ilvl w:val="1"/>
          <w:numId w:val="24"/>
        </w:numPr>
        <w:spacing w:before="120" w:after="120" w:line="288" w:lineRule="auto"/>
        <w:ind w:left="840" w:hanging="420"/>
        <w:jc w:val="left"/>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14:textFill>
            <w14:solidFill>
              <w14:schemeClr w14:val="tx1"/>
            </w14:solidFill>
          </w14:textFill>
          <w:woUserID w:val="1"/>
        </w:rPr>
        <w:t>乙方新招聘指派至甲方提供服务的人员，自上岗之日起前 【</w:t>
      </w:r>
      <w:r>
        <w:rPr>
          <w:rFonts w:hint="eastAsia" w:ascii="楷体" w:hAnsi="楷体" w:eastAsia="楷体" w:cs="楷体"/>
          <w:color w:val="000000" w:themeColor="text1"/>
          <w:sz w:val="24"/>
          <w:szCs w:val="24"/>
          <w:lang w:eastAsia="zh"/>
          <w14:textFill>
            <w14:solidFill>
              <w14:schemeClr w14:val="tx1"/>
            </w14:solidFill>
          </w14:textFill>
          <w:woUserID w:val="1"/>
        </w:rPr>
        <w:t>2</w:t>
      </w:r>
      <w:r>
        <w:rPr>
          <w:rFonts w:hint="eastAsia" w:ascii="楷体" w:hAnsi="楷体" w:eastAsia="楷体" w:cs="楷体"/>
          <w:color w:val="000000" w:themeColor="text1"/>
          <w:sz w:val="24"/>
          <w:szCs w:val="24"/>
          <w14:textFill>
            <w14:solidFill>
              <w14:schemeClr w14:val="tx1"/>
            </w14:solidFill>
          </w14:textFill>
          <w:woUserID w:val="1"/>
        </w:rPr>
        <w:t>】 个工作日为试岗期（试岗期最长不超过 【</w:t>
      </w:r>
      <w:r>
        <w:rPr>
          <w:rFonts w:hint="eastAsia" w:ascii="楷体" w:hAnsi="楷体" w:eastAsia="楷体" w:cs="楷体"/>
          <w:color w:val="000000" w:themeColor="text1"/>
          <w:sz w:val="24"/>
          <w:szCs w:val="24"/>
          <w:lang w:eastAsia="zh"/>
          <w14:textFill>
            <w14:solidFill>
              <w14:schemeClr w14:val="tx1"/>
            </w14:solidFill>
          </w14:textFill>
          <w:woUserID w:val="1"/>
        </w:rPr>
        <w:t>3</w:t>
      </w:r>
      <w:r>
        <w:rPr>
          <w:rFonts w:hint="eastAsia" w:ascii="楷体" w:hAnsi="楷体" w:eastAsia="楷体" w:cs="楷体"/>
          <w:color w:val="000000" w:themeColor="text1"/>
          <w:sz w:val="24"/>
          <w:szCs w:val="24"/>
          <w14:textFill>
            <w14:solidFill>
              <w14:schemeClr w14:val="tx1"/>
            </w14:solidFill>
          </w14:textFill>
          <w:woUserID w:val="1"/>
        </w:rPr>
        <w:t>】 个工作日，具体天数由甲方根据岗位需求确定）。</w:t>
      </w:r>
    </w:p>
    <w:p w14:paraId="6C776BE2">
      <w:pPr>
        <w:numPr>
          <w:ilvl w:val="1"/>
          <w:numId w:val="24"/>
        </w:numPr>
        <w:spacing w:before="120" w:after="120" w:line="288" w:lineRule="auto"/>
        <w:ind w:left="840" w:hanging="420"/>
        <w:jc w:val="left"/>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14:textFill>
            <w14:solidFill>
              <w14:schemeClr w14:val="tx1"/>
            </w14:solidFill>
          </w14:textFill>
          <w:woUserID w:val="1"/>
        </w:rPr>
        <w:t>试岗期内，甲方有权对新人员进行全面考核，考核内容包括但不限于：工作态度、操作技能、服务规范、安全意识、与无人车协同作业的适应能力等。考核标准参照本合同附件及甲方现场管理要求执行。</w:t>
      </w:r>
    </w:p>
    <w:p w14:paraId="64E48714">
      <w:pPr>
        <w:numPr>
          <w:ilvl w:val="1"/>
          <w:numId w:val="24"/>
        </w:numPr>
        <w:spacing w:before="120" w:after="120" w:line="288" w:lineRule="auto"/>
        <w:ind w:left="840" w:hanging="420"/>
        <w:jc w:val="left"/>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14:textFill>
            <w14:solidFill>
              <w14:schemeClr w14:val="tx1"/>
            </w14:solidFill>
          </w14:textFill>
          <w:woUserID w:val="1"/>
        </w:rPr>
        <w:t>试岗期考核不合格的，甲方有权在 【2】 个工作日内书面通知乙方更换人员，乙方应在收到通知后 【3】 个工作日内提供合格人员替换，被替换人员立即停止服务。</w:t>
      </w:r>
      <w:r>
        <w:rPr>
          <w:rFonts w:hint="eastAsia" w:ascii="楷体" w:hAnsi="楷体" w:eastAsia="楷体" w:cs="楷体"/>
          <w:color w:val="000000" w:themeColor="text1"/>
          <w:sz w:val="24"/>
          <w:szCs w:val="24"/>
          <w:lang w:eastAsia="zh"/>
          <w14:textFill>
            <w14:solidFill>
              <w14:schemeClr w14:val="tx1"/>
            </w14:solidFill>
          </w14:textFill>
          <w:woUserID w:val="1"/>
        </w:rPr>
        <w:t>通过</w:t>
      </w:r>
      <w:r>
        <w:rPr>
          <w:rFonts w:hint="eastAsia" w:ascii="楷体" w:hAnsi="楷体" w:eastAsia="楷体" w:cs="楷体"/>
          <w:color w:val="000000" w:themeColor="text1"/>
          <w:sz w:val="24"/>
          <w:szCs w:val="24"/>
          <w14:textFill>
            <w14:solidFill>
              <w14:schemeClr w14:val="tx1"/>
            </w14:solidFill>
          </w14:textFill>
          <w:woUserID w:val="1"/>
        </w:rPr>
        <w:t>试岗期</w:t>
      </w:r>
      <w:r>
        <w:rPr>
          <w:rFonts w:hint="eastAsia" w:ascii="楷体" w:hAnsi="楷体" w:eastAsia="楷体" w:cs="楷体"/>
          <w:color w:val="000000" w:themeColor="text1"/>
          <w:sz w:val="24"/>
          <w:szCs w:val="24"/>
          <w:lang w:eastAsia="zh"/>
          <w14:textFill>
            <w14:solidFill>
              <w14:schemeClr w14:val="tx1"/>
            </w14:solidFill>
          </w14:textFill>
          <w:woUserID w:val="1"/>
        </w:rPr>
        <w:t>的</w:t>
      </w:r>
      <w:r>
        <w:rPr>
          <w:rFonts w:hint="eastAsia" w:ascii="楷体" w:hAnsi="楷体" w:eastAsia="楷体" w:cs="楷体"/>
          <w:color w:val="000000" w:themeColor="text1"/>
          <w:sz w:val="24"/>
          <w:szCs w:val="24"/>
          <w14:textFill>
            <w14:solidFill>
              <w14:schemeClr w14:val="tx1"/>
            </w14:solidFill>
          </w14:textFill>
          <w:woUserID w:val="1"/>
        </w:rPr>
        <w:t>人员服务费用按实际工作天数及本合同约定的计件单价或人月单价折算后支付，乙方不得另行收取招聘费、管理费或任何形式的额外费用。试岗期不合格人员不计入本合同第五条约定的“当月实际在岗人数”，不参与月度人员到岗率考核。</w:t>
      </w:r>
    </w:p>
    <w:p w14:paraId="14AD1FE4">
      <w:pPr>
        <w:numPr>
          <w:ilvl w:val="1"/>
          <w:numId w:val="24"/>
        </w:numPr>
        <w:spacing w:before="120" w:after="120" w:line="288" w:lineRule="auto"/>
        <w:ind w:left="840" w:hanging="420"/>
        <w:jc w:val="left"/>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14:textFill>
            <w14:solidFill>
              <w14:schemeClr w14:val="tx1"/>
            </w14:solidFill>
          </w14:textFill>
          <w:woUserID w:val="1"/>
        </w:rPr>
        <w:t>试岗期考核合格的，自试岗期满次日起自动转为正式服务人员，正式纳入本合同各项考核管理，其试岗期工作表现可作为后续考核参考。</w:t>
      </w:r>
    </w:p>
    <w:p w14:paraId="51BA5DBC">
      <w:pPr>
        <w:numPr>
          <w:ilvl w:val="1"/>
          <w:numId w:val="24"/>
        </w:numPr>
        <w:spacing w:before="120" w:after="120" w:line="288" w:lineRule="auto"/>
        <w:ind w:left="840" w:hanging="42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woUserID w:val="1"/>
        </w:rPr>
        <w:t>若同一岗位因试岗期不合格连续更换 【2】 次仍未能通过考核的，甲方有权要求乙方就该岗位另行推荐其他候选人，或视情况核减该岗位需求。</w:t>
      </w:r>
    </w:p>
    <w:p w14:paraId="2914FB14">
      <w:pPr>
        <w:spacing w:before="300" w:after="120" w:line="288" w:lineRule="auto"/>
        <w:ind w:left="0"/>
        <w:jc w:val="left"/>
        <w:outlineLvl w:val="2"/>
        <w:rPr>
          <w:rFonts w:hint="eastAsia" w:ascii="楷体" w:hAnsi="楷体" w:eastAsia="楷体" w:cs="楷体"/>
          <w:color w:val="000000" w:themeColor="text1"/>
          <w:sz w:val="24"/>
          <w:szCs w:val="24"/>
          <w14:textFill>
            <w14:solidFill>
              <w14:schemeClr w14:val="tx1"/>
            </w14:solidFill>
          </w14:textFill>
        </w:rPr>
      </w:pPr>
      <w:bookmarkStart w:id="10" w:name="heading_10"/>
      <w:r>
        <w:rPr>
          <w:rFonts w:hint="eastAsia" w:ascii="楷体" w:hAnsi="楷体" w:eastAsia="楷体" w:cs="楷体"/>
          <w:b/>
          <w:color w:val="000000" w:themeColor="text1"/>
          <w:sz w:val="24"/>
          <w:szCs w:val="24"/>
          <w14:textFill>
            <w14:solidFill>
              <w14:schemeClr w14:val="tx1"/>
            </w14:solidFill>
          </w14:textFill>
        </w:rPr>
        <w:t>八、免责条款</w:t>
      </w:r>
      <w:bookmarkEnd w:id="10"/>
    </w:p>
    <w:p w14:paraId="56E9F253">
      <w:pPr>
        <w:numPr>
          <w:ilvl w:val="0"/>
          <w:numId w:val="25"/>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当发生不可抗力，包括但不限于自然灾害、战争、动乱、罢工等；或出现法律法规、政府政策变化；或意外事件，导致本合同不能继续履行，遭受免责事件的一方应通知对方、采取相应措施避免损失的扩大，并在免责事项发生后向对方提供相关部门的书面证明文件，方可免除相应的违约责任。</w:t>
      </w:r>
    </w:p>
    <w:p w14:paraId="69C4C105">
      <w:pPr>
        <w:numPr>
          <w:ilvl w:val="0"/>
          <w:numId w:val="26"/>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当出现双方在订立合同时无法预见的、不属于商业风险的重大变化，双方不能协商变更合同导致合同解除的，双方互不承担违约责任。</w:t>
      </w:r>
    </w:p>
    <w:p w14:paraId="07BEA8AB">
      <w:pPr>
        <w:numPr>
          <w:ilvl w:val="0"/>
          <w:numId w:val="27"/>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因治安管理案件或刑事犯罪案件，包括但不限于故意伤害、爆炸、偷盗、抢劫等导致人身伤害或财产损失的，由行为人承担责任。</w:t>
      </w:r>
    </w:p>
    <w:p w14:paraId="18E79C82">
      <w:pPr>
        <w:spacing w:before="300" w:after="120" w:line="288" w:lineRule="auto"/>
        <w:ind w:left="0"/>
        <w:jc w:val="left"/>
        <w:outlineLvl w:val="2"/>
        <w:rPr>
          <w:rFonts w:hint="eastAsia" w:ascii="楷体" w:hAnsi="楷体" w:eastAsia="楷体" w:cs="楷体"/>
          <w:color w:val="000000" w:themeColor="text1"/>
          <w:sz w:val="24"/>
          <w:szCs w:val="24"/>
          <w14:textFill>
            <w14:solidFill>
              <w14:schemeClr w14:val="tx1"/>
            </w14:solidFill>
          </w14:textFill>
        </w:rPr>
      </w:pPr>
      <w:bookmarkStart w:id="11" w:name="heading_11"/>
      <w:r>
        <w:rPr>
          <w:rFonts w:hint="eastAsia" w:ascii="楷体" w:hAnsi="楷体" w:eastAsia="楷体" w:cs="楷体"/>
          <w:b/>
          <w:color w:val="000000" w:themeColor="text1"/>
          <w:sz w:val="24"/>
          <w:szCs w:val="24"/>
          <w14:textFill>
            <w14:solidFill>
              <w14:schemeClr w14:val="tx1"/>
            </w14:solidFill>
          </w14:textFill>
        </w:rPr>
        <w:t>九、其他约定</w:t>
      </w:r>
      <w:bookmarkEnd w:id="11"/>
    </w:p>
    <w:p w14:paraId="0F8AD52E">
      <w:pPr>
        <w:numPr>
          <w:ilvl w:val="0"/>
          <w:numId w:val="28"/>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本合同经甲乙双方法定代表人或委托代理人签字并加盖公司印章后生效。</w:t>
      </w:r>
    </w:p>
    <w:p w14:paraId="0EAAE880">
      <w:pPr>
        <w:numPr>
          <w:ilvl w:val="0"/>
          <w:numId w:val="29"/>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如因招用、管理服务人员与乙方指派的人员发生争议的，由乙方负责解决，并自行承担相应的赔偿责任。</w:t>
      </w:r>
    </w:p>
    <w:p w14:paraId="1BA3860B">
      <w:pPr>
        <w:numPr>
          <w:ilvl w:val="0"/>
          <w:numId w:val="30"/>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本合同未尽事宜，由双方协商解决，签订补充协议。在履行本合同过程中，如发生争议，应协商解决，协商不成，任何一方均应向甲方所在地人民法院提起诉讼。</w:t>
      </w:r>
    </w:p>
    <w:p w14:paraId="64D82565">
      <w:pPr>
        <w:numPr>
          <w:ilvl w:val="0"/>
          <w:numId w:val="31"/>
        </w:numPr>
        <w:spacing w:before="120" w:after="120" w:line="288" w:lineRule="auto"/>
        <w:ind w:left="0"/>
        <w:jc w:val="left"/>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本合同一式</w:t>
      </w:r>
      <w:r>
        <w:rPr>
          <w:rFonts w:hint="eastAsia" w:ascii="楷体" w:hAnsi="楷体" w:eastAsia="楷体" w:cs="楷体"/>
          <w:color w:val="000000" w:themeColor="text1"/>
          <w:sz w:val="24"/>
          <w:szCs w:val="24"/>
          <w:lang w:val="en-US" w:eastAsia="zh-CN"/>
          <w14:textFill>
            <w14:solidFill>
              <w14:schemeClr w14:val="tx1"/>
            </w14:solidFill>
          </w14:textFill>
        </w:rPr>
        <w:t>二</w:t>
      </w:r>
      <w:r>
        <w:rPr>
          <w:rFonts w:hint="eastAsia" w:ascii="楷体" w:hAnsi="楷体" w:eastAsia="楷体" w:cs="楷体"/>
          <w:color w:val="000000" w:themeColor="text1"/>
          <w:sz w:val="24"/>
          <w:szCs w:val="24"/>
          <w14:textFill>
            <w14:solidFill>
              <w14:schemeClr w14:val="tx1"/>
            </w14:solidFill>
          </w14:textFill>
        </w:rPr>
        <w:t>份，甲方执</w:t>
      </w:r>
      <w:r>
        <w:rPr>
          <w:rFonts w:hint="eastAsia" w:ascii="楷体" w:hAnsi="楷体" w:eastAsia="楷体" w:cs="楷体"/>
          <w:color w:val="000000" w:themeColor="text1"/>
          <w:sz w:val="24"/>
          <w:szCs w:val="24"/>
          <w:lang w:val="en-US" w:eastAsia="zh-CN"/>
          <w14:textFill>
            <w14:solidFill>
              <w14:schemeClr w14:val="tx1"/>
            </w14:solidFill>
          </w14:textFill>
        </w:rPr>
        <w:t>壹</w:t>
      </w:r>
      <w:r>
        <w:rPr>
          <w:rFonts w:hint="eastAsia" w:ascii="楷体" w:hAnsi="楷体" w:eastAsia="楷体" w:cs="楷体"/>
          <w:color w:val="000000" w:themeColor="text1"/>
          <w:sz w:val="24"/>
          <w:szCs w:val="24"/>
          <w14:textFill>
            <w14:solidFill>
              <w14:schemeClr w14:val="tx1"/>
            </w14:solidFill>
          </w14:textFill>
        </w:rPr>
        <w:t>份，乙方执</w:t>
      </w:r>
      <w:r>
        <w:rPr>
          <w:rFonts w:hint="eastAsia" w:ascii="楷体" w:hAnsi="楷体" w:eastAsia="楷体" w:cs="楷体"/>
          <w:color w:val="000000" w:themeColor="text1"/>
          <w:sz w:val="24"/>
          <w:szCs w:val="24"/>
          <w:lang w:val="en-US" w:eastAsia="zh-CN"/>
          <w14:textFill>
            <w14:solidFill>
              <w14:schemeClr w14:val="tx1"/>
            </w14:solidFill>
          </w14:textFill>
        </w:rPr>
        <w:t>壹</w:t>
      </w:r>
      <w:r>
        <w:rPr>
          <w:rFonts w:hint="eastAsia" w:ascii="楷体" w:hAnsi="楷体" w:eastAsia="楷体" w:cs="楷体"/>
          <w:color w:val="000000" w:themeColor="text1"/>
          <w:sz w:val="24"/>
          <w:szCs w:val="24"/>
          <w14:textFill>
            <w14:solidFill>
              <w14:schemeClr w14:val="tx1"/>
            </w14:solidFill>
          </w14:textFill>
        </w:rPr>
        <w:t>份，每份均具有同等法律效力。</w:t>
      </w:r>
      <w:bookmarkStart w:id="12" w:name="heading_12"/>
    </w:p>
    <w:p w14:paraId="35D1F96E">
      <w:pPr>
        <w:numPr>
          <w:ilvl w:val="0"/>
          <w:numId w:val="31"/>
        </w:numPr>
        <w:spacing w:before="120" w:after="120" w:line="288" w:lineRule="auto"/>
        <w:ind w:left="0"/>
        <w:jc w:val="left"/>
        <w:rPr>
          <w:rFonts w:hint="eastAsia" w:ascii="楷体" w:hAnsi="楷体" w:eastAsia="楷体" w:cs="楷体"/>
          <w:b/>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一切通知、信函、文件、法律文书、其他通信均应发往本合首部列明甲方及乙方地址。任何一方变更该地址的，应在变更后3日内书面通知另一方（本合同项下争议被法院受理的还应通知受理法院），否则另一方或法院向一方变更前的地址发送通知、信函、文件、法律文书、其他通信的，视为有效送达。</w:t>
      </w:r>
    </w:p>
    <w:p w14:paraId="5F0EE021">
      <w:pPr>
        <w:numPr>
          <w:ilvl w:val="0"/>
          <w:numId w:val="31"/>
        </w:numPr>
        <w:spacing w:before="120" w:after="120" w:line="288" w:lineRule="auto"/>
        <w:ind w:left="0"/>
        <w:jc w:val="left"/>
        <w:rPr>
          <w:rFonts w:hint="eastAsia" w:ascii="楷体" w:hAnsi="楷体" w:eastAsia="楷体" w:cs="楷体"/>
          <w:b/>
          <w:color w:val="000000" w:themeColor="text1"/>
          <w:sz w:val="24"/>
          <w:szCs w:val="24"/>
          <w:lang w:val="en-US" w:eastAsia="zh-CN"/>
          <w14:textFill>
            <w14:solidFill>
              <w14:schemeClr w14:val="tx1"/>
            </w14:solidFill>
          </w14:textFill>
        </w:rPr>
      </w:pPr>
      <w:r>
        <w:rPr>
          <w:rFonts w:hint="eastAsia" w:ascii="楷体" w:hAnsi="楷体" w:eastAsia="楷体" w:cs="楷体"/>
          <w:b w:val="0"/>
          <w:bCs/>
          <w:color w:val="000000" w:themeColor="text1"/>
          <w:sz w:val="24"/>
          <w:szCs w:val="24"/>
          <w:lang w:val="en-US" w:eastAsia="zh-CN"/>
          <w14:textFill>
            <w14:solidFill>
              <w14:schemeClr w14:val="tx1"/>
            </w14:solidFill>
          </w14:textFill>
        </w:rPr>
        <w:t>本协议经甲乙双方盖章的附件及补充协议与协议正本具有同等法律效力。</w:t>
      </w:r>
    </w:p>
    <w:p w14:paraId="26499C34">
      <w:pPr>
        <w:numPr>
          <w:ilvl w:val="0"/>
          <w:numId w:val="31"/>
        </w:numPr>
        <w:spacing w:before="120" w:after="120" w:line="288" w:lineRule="auto"/>
        <w:ind w:left="0"/>
        <w:jc w:val="left"/>
        <w:rPr>
          <w:rFonts w:hint="eastAsia" w:ascii="楷体" w:hAnsi="楷体" w:eastAsia="楷体" w:cs="楷体"/>
          <w:b w:val="0"/>
          <w:bCs/>
          <w:color w:val="000000" w:themeColor="text1"/>
          <w:sz w:val="24"/>
          <w:szCs w:val="24"/>
          <w:lang w:val="en-US" w:eastAsia="zh-CN"/>
          <w14:textFill>
            <w14:solidFill>
              <w14:schemeClr w14:val="tx1"/>
            </w14:solidFill>
          </w14:textFill>
        </w:rPr>
      </w:pPr>
      <w:r>
        <w:rPr>
          <w:rFonts w:hint="eastAsia" w:ascii="楷体" w:hAnsi="楷体" w:eastAsia="楷体" w:cs="楷体"/>
          <w:b w:val="0"/>
          <w:bCs/>
          <w:color w:val="000000" w:themeColor="text1"/>
          <w:sz w:val="24"/>
          <w:szCs w:val="24"/>
          <w:lang w:val="en-US" w:eastAsia="zh-CN"/>
          <w14:textFill>
            <w14:solidFill>
              <w14:schemeClr w14:val="tx1"/>
            </w14:solidFill>
          </w14:textFill>
        </w:rPr>
        <w:t>本协议包含以下附件：</w:t>
      </w:r>
    </w:p>
    <w:p w14:paraId="0FC3F31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exact"/>
        <w:ind w:left="0" w:right="0" w:firstLine="0"/>
        <w:jc w:val="left"/>
        <w:textAlignment w:val="auto"/>
        <w:outlineLvl w:val="1"/>
        <w:rPr>
          <w:rFonts w:hint="eastAsia" w:ascii="楷体" w:hAnsi="楷体" w:eastAsia="楷体" w:cs="楷体"/>
          <w:b w:val="0"/>
          <w:bCs w:val="0"/>
          <w:color w:val="000000" w:themeColor="text1"/>
          <w:sz w:val="24"/>
          <w:szCs w:val="24"/>
          <w14:textFill>
            <w14:solidFill>
              <w14:schemeClr w14:val="tx1"/>
            </w14:solidFill>
          </w14:textFill>
          <w:woUserID w:val="1"/>
        </w:rPr>
      </w:pPr>
      <w:r>
        <w:rPr>
          <w:rFonts w:hint="eastAsia" w:ascii="楷体" w:hAnsi="楷体" w:eastAsia="楷体" w:cs="楷体"/>
          <w:b w:val="0"/>
          <w:bCs w:val="0"/>
          <w:color w:val="000000" w:themeColor="text1"/>
          <w:sz w:val="24"/>
          <w:szCs w:val="24"/>
          <w14:textFill>
            <w14:solidFill>
              <w14:schemeClr w14:val="tx1"/>
            </w14:solidFill>
          </w14:textFill>
        </w:rPr>
        <w:t>附件一：</w:t>
      </w:r>
      <w:r>
        <w:rPr>
          <w:rFonts w:hint="eastAsia" w:ascii="楷体" w:hAnsi="楷体" w:eastAsia="楷体" w:cs="楷体"/>
          <w:b w:val="0"/>
          <w:bCs w:val="0"/>
          <w:color w:val="000000" w:themeColor="text1"/>
          <w:sz w:val="24"/>
          <w:szCs w:val="24"/>
          <w14:textFill>
            <w14:solidFill>
              <w14:schemeClr w14:val="tx1"/>
            </w14:solidFill>
          </w14:textFill>
          <w:woUserID w:val="1"/>
        </w:rPr>
        <w:t>外包</w:t>
      </w:r>
      <w:r>
        <w:rPr>
          <w:rFonts w:hint="eastAsia" w:ascii="楷体" w:hAnsi="楷体" w:eastAsia="楷体" w:cs="楷体"/>
          <w:b w:val="0"/>
          <w:bCs w:val="0"/>
          <w:color w:val="000000" w:themeColor="text1"/>
          <w:sz w:val="24"/>
          <w:szCs w:val="24"/>
          <w:lang w:eastAsia="zh"/>
          <w14:textFill>
            <w14:solidFill>
              <w14:schemeClr w14:val="tx1"/>
            </w14:solidFill>
          </w14:textFill>
          <w:woUserID w:val="2"/>
        </w:rPr>
        <w:t>（快递类）</w:t>
      </w:r>
      <w:r>
        <w:rPr>
          <w:rFonts w:hint="eastAsia" w:ascii="楷体" w:hAnsi="楷体" w:eastAsia="楷体" w:cs="楷体"/>
          <w:b w:val="0"/>
          <w:bCs w:val="0"/>
          <w:color w:val="000000" w:themeColor="text1"/>
          <w:sz w:val="24"/>
          <w:szCs w:val="24"/>
          <w14:textFill>
            <w14:solidFill>
              <w14:schemeClr w14:val="tx1"/>
            </w14:solidFill>
          </w14:textFill>
          <w:woUserID w:val="1"/>
        </w:rPr>
        <w:t>业务考核标准（月度绩效考核）</w:t>
      </w:r>
    </w:p>
    <w:p w14:paraId="5F3A13FB">
      <w:pPr>
        <w:spacing w:before="320" w:after="120" w:line="288" w:lineRule="auto"/>
        <w:ind w:left="0"/>
        <w:jc w:val="left"/>
        <w:outlineLvl w:val="1"/>
        <w:rPr>
          <w:rFonts w:hint="eastAsia"/>
          <w:b w:val="0"/>
          <w:bCs w:val="0"/>
          <w:lang w:val="en-US" w:eastAsia="zh-CN"/>
        </w:rPr>
      </w:pPr>
      <w:r>
        <w:rPr>
          <w:rFonts w:hint="eastAsia" w:ascii="楷体" w:hAnsi="楷体" w:eastAsia="楷体" w:cs="楷体"/>
          <w:b w:val="0"/>
          <w:bCs w:val="0"/>
          <w:color w:val="000000" w:themeColor="text1"/>
          <w:sz w:val="24"/>
          <w:szCs w:val="24"/>
          <w14:textFill>
            <w14:solidFill>
              <w14:schemeClr w14:val="tx1"/>
            </w14:solidFill>
          </w14:textFill>
          <w:woUserID w:val="1"/>
        </w:rPr>
        <w:t>附件</w:t>
      </w:r>
      <w:r>
        <w:rPr>
          <w:rFonts w:hint="eastAsia" w:ascii="楷体" w:hAnsi="楷体" w:eastAsia="楷体" w:cs="楷体"/>
          <w:b w:val="0"/>
          <w:bCs w:val="0"/>
          <w:color w:val="000000" w:themeColor="text1"/>
          <w:sz w:val="24"/>
          <w:szCs w:val="24"/>
          <w:lang w:eastAsia="zh"/>
          <w14:textFill>
            <w14:solidFill>
              <w14:schemeClr w14:val="tx1"/>
            </w14:solidFill>
          </w14:textFill>
          <w:woUserID w:val="1"/>
        </w:rPr>
        <w:t>二</w:t>
      </w:r>
      <w:r>
        <w:rPr>
          <w:rFonts w:hint="eastAsia" w:ascii="楷体" w:hAnsi="楷体" w:eastAsia="楷体" w:cs="楷体"/>
          <w:b w:val="0"/>
          <w:bCs w:val="0"/>
          <w:color w:val="000000" w:themeColor="text1"/>
          <w:sz w:val="24"/>
          <w:szCs w:val="24"/>
          <w14:textFill>
            <w14:solidFill>
              <w14:schemeClr w14:val="tx1"/>
            </w14:solidFill>
          </w14:textFill>
          <w:woUserID w:val="1"/>
        </w:rPr>
        <w:t>：积分制运行规则</w:t>
      </w:r>
    </w:p>
    <w:p w14:paraId="70D2BBBC">
      <w:pPr>
        <w:spacing w:before="320" w:after="120" w:line="288" w:lineRule="auto"/>
        <w:ind w:left="0"/>
        <w:jc w:val="left"/>
        <w:outlineLvl w:val="1"/>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附件</w:t>
      </w:r>
      <w:r>
        <w:rPr>
          <w:rFonts w:hint="eastAsia" w:ascii="楷体" w:hAnsi="楷体" w:eastAsia="楷体" w:cs="楷体"/>
          <w:b w:val="0"/>
          <w:bCs w:val="0"/>
          <w:color w:val="000000" w:themeColor="text1"/>
          <w:sz w:val="24"/>
          <w:szCs w:val="24"/>
          <w:lang w:eastAsia="zh"/>
          <w14:textFill>
            <w14:solidFill>
              <w14:schemeClr w14:val="tx1"/>
            </w14:solidFill>
          </w14:textFill>
          <w:woUserID w:val="1"/>
        </w:rPr>
        <w:t>三</w:t>
      </w:r>
      <w:r>
        <w:rPr>
          <w:rFonts w:hint="eastAsia" w:ascii="楷体" w:hAnsi="楷体" w:eastAsia="楷体" w:cs="楷体"/>
          <w:b w:val="0"/>
          <w:bCs w:val="0"/>
          <w:color w:val="000000" w:themeColor="text1"/>
          <w:sz w:val="24"/>
          <w:szCs w:val="24"/>
          <w14:textFill>
            <w14:solidFill>
              <w14:schemeClr w14:val="tx1"/>
            </w14:solidFill>
          </w14:textFill>
        </w:rPr>
        <w:t>：客户投诉处理流程说明</w:t>
      </w:r>
    </w:p>
    <w:p w14:paraId="4DBE75EC">
      <w:pPr>
        <w:spacing w:before="320" w:after="120" w:line="288" w:lineRule="auto"/>
        <w:ind w:left="0"/>
        <w:jc w:val="left"/>
        <w:outlineLvl w:val="1"/>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附件四：</w:t>
      </w:r>
      <w:r>
        <w:rPr>
          <w:rFonts w:hint="eastAsia" w:ascii="楷体" w:hAnsi="楷体" w:eastAsia="楷体" w:cs="楷体"/>
          <w:b w:val="0"/>
          <w:bCs w:val="0"/>
          <w:color w:val="000000" w:themeColor="text1"/>
          <w:sz w:val="24"/>
          <w:szCs w:val="24"/>
          <w14:textFill>
            <w14:solidFill>
              <w14:schemeClr w14:val="tx1"/>
            </w14:solidFill>
          </w14:textFill>
        </w:rPr>
        <w:t>违约行为与违约金标准</w:t>
      </w:r>
    </w:p>
    <w:p w14:paraId="2E778753">
      <w:pPr>
        <w:spacing w:before="320" w:after="120" w:line="288" w:lineRule="auto"/>
        <w:ind w:left="0"/>
        <w:jc w:val="left"/>
        <w:outlineLvl w:val="1"/>
        <w:rPr>
          <w:rFonts w:hint="eastAsia" w:ascii="楷体" w:hAnsi="楷体" w:eastAsia="楷体" w:cs="楷体"/>
          <w:b/>
          <w:color w:val="000000" w:themeColor="text1"/>
          <w:sz w:val="24"/>
          <w:szCs w:val="24"/>
          <w:lang w:val="en-US" w:eastAsia="zh-CN"/>
          <w14:textFill>
            <w14:solidFill>
              <w14:schemeClr w14:val="tx1"/>
            </w14:solidFill>
          </w14:textFill>
        </w:rPr>
        <w:sectPr>
          <w:footerReference r:id="rId3" w:type="default"/>
          <w:pgSz w:w="11905" w:h="16840"/>
          <w:pgMar w:top="720" w:right="720" w:bottom="720" w:left="720" w:header="720" w:footer="720" w:gutter="0"/>
          <w:pgNumType w:fmt="decimal"/>
          <w:cols w:space="720" w:num="1"/>
        </w:sectPr>
      </w:pPr>
    </w:p>
    <w:p w14:paraId="38D52C7C">
      <w:pPr>
        <w:pStyle w:val="2"/>
        <w:keepNext w:val="0"/>
        <w:keepLines w:val="0"/>
        <w:widowControl/>
        <w:suppressLineNumbers w:val="0"/>
        <w:shd w:val="clear" w:fill="FFFFFF"/>
        <w:spacing w:before="480" w:beforeAutospacing="0" w:after="240" w:afterAutospacing="0" w:line="510" w:lineRule="atLeast"/>
        <w:ind w:left="0" w:right="0" w:firstLine="0"/>
        <w:jc w:val="left"/>
        <w:outlineLvl w:val="1"/>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附件一：</w:t>
      </w:r>
      <w:bookmarkEnd w:id="12"/>
      <w:r>
        <w:rPr>
          <w:rFonts w:hint="eastAsia" w:ascii="楷体" w:hAnsi="楷体" w:eastAsia="楷体" w:cs="楷体"/>
          <w:b/>
          <w:color w:val="000000" w:themeColor="text1"/>
          <w:sz w:val="24"/>
          <w:szCs w:val="24"/>
          <w14:textFill>
            <w14:solidFill>
              <w14:schemeClr w14:val="tx1"/>
            </w14:solidFill>
          </w14:textFill>
          <w:woUserID w:val="1"/>
        </w:rPr>
        <w:t>外包</w:t>
      </w:r>
      <w:r>
        <w:rPr>
          <w:rFonts w:hint="eastAsia" w:ascii="楷体" w:hAnsi="楷体" w:eastAsia="楷体" w:cs="楷体"/>
          <w:b/>
          <w:color w:val="000000" w:themeColor="text1"/>
          <w:sz w:val="24"/>
          <w:szCs w:val="24"/>
          <w:lang w:eastAsia="zh"/>
          <w14:textFill>
            <w14:solidFill>
              <w14:schemeClr w14:val="tx1"/>
            </w14:solidFill>
          </w14:textFill>
          <w:woUserID w:val="2"/>
        </w:rPr>
        <w:t>（快递类）</w:t>
      </w:r>
      <w:r>
        <w:rPr>
          <w:rFonts w:hint="eastAsia" w:ascii="楷体" w:hAnsi="楷体" w:eastAsia="楷体" w:cs="楷体"/>
          <w:b/>
          <w:color w:val="000000" w:themeColor="text1"/>
          <w:sz w:val="24"/>
          <w:szCs w:val="24"/>
          <w14:textFill>
            <w14:solidFill>
              <w14:schemeClr w14:val="tx1"/>
            </w14:solidFill>
          </w14:textFill>
          <w:woUserID w:val="1"/>
        </w:rPr>
        <w:t>业务考核标准（月度绩效考核）</w:t>
      </w:r>
    </w:p>
    <w:p w14:paraId="4300EA3B">
      <w:pPr>
        <w:spacing w:before="120" w:after="120" w:line="288" w:lineRule="auto"/>
        <w:ind w:left="0"/>
        <w:rPr>
          <w:rFonts w:hint="eastAsia" w:ascii="楷体" w:hAnsi="楷体" w:eastAsia="楷体" w:cs="楷体"/>
          <w:b/>
          <w:bCs/>
          <w:color w:val="000000" w:themeColor="text1"/>
          <w:sz w:val="24"/>
          <w:szCs w:val="24"/>
          <w14:textFill>
            <w14:solidFill>
              <w14:schemeClr w14:val="tx1"/>
            </w14:solidFill>
          </w14:textFill>
          <w:woUserID w:val="1"/>
        </w:rPr>
      </w:pPr>
      <w:r>
        <w:rPr>
          <w:rFonts w:hint="eastAsia" w:ascii="楷体" w:hAnsi="楷体" w:eastAsia="楷体" w:cs="楷体"/>
          <w:b/>
          <w:bCs/>
          <w:color w:val="000000" w:themeColor="text1"/>
          <w:sz w:val="24"/>
          <w:szCs w:val="24"/>
          <w14:textFill>
            <w14:solidFill>
              <w14:schemeClr w14:val="tx1"/>
            </w14:solidFill>
          </w14:textFill>
          <w:woUserID w:val="1"/>
        </w:rPr>
        <w:t>说明：</w:t>
      </w:r>
    </w:p>
    <w:p w14:paraId="12316301">
      <w:pPr>
        <w:numPr>
          <w:ilvl w:val="0"/>
          <w:numId w:val="32"/>
        </w:numPr>
        <w:spacing w:before="120" w:after="120" w:line="288" w:lineRule="auto"/>
        <w:ind w:left="425" w:hanging="425"/>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14:textFill>
            <w14:solidFill>
              <w14:schemeClr w14:val="tx1"/>
            </w14:solidFill>
          </w14:textFill>
          <w:woUserID w:val="1"/>
        </w:rPr>
        <w:t>本附件用于每月对乙方整体服务绩效进行评估，考核结果与当月外包服务费用结算直接挂钩。</w:t>
      </w:r>
    </w:p>
    <w:p w14:paraId="6307BC4D">
      <w:pPr>
        <w:numPr>
          <w:ilvl w:val="0"/>
          <w:numId w:val="32"/>
        </w:numPr>
        <w:spacing w:before="120" w:after="120" w:line="288" w:lineRule="auto"/>
        <w:ind w:left="425" w:hanging="425"/>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14:textFill>
            <w14:solidFill>
              <w14:schemeClr w14:val="tx1"/>
            </w14:solidFill>
          </w14:textFill>
          <w:woUserID w:val="1"/>
        </w:rPr>
        <w:t>考核数据以甲方系统记录、客户反馈、现场检查等为准。</w:t>
      </w:r>
    </w:p>
    <w:p w14:paraId="70E15FD8">
      <w:pPr>
        <w:numPr>
          <w:ilvl w:val="0"/>
          <w:numId w:val="32"/>
        </w:numPr>
        <w:spacing w:before="120" w:after="120" w:line="288" w:lineRule="auto"/>
        <w:ind w:left="425" w:hanging="425"/>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14:textFill>
            <w14:solidFill>
              <w14:schemeClr w14:val="tx1"/>
            </w14:solidFill>
          </w14:textFill>
          <w:woUserID w:val="1"/>
        </w:rPr>
        <w:t>各项考核指标独立计算，扣款金额累加后在当月外包费用中扣除。</w:t>
      </w:r>
    </w:p>
    <w:tbl>
      <w:tblPr>
        <w:tblStyle w:val="6"/>
        <w:tblW w:w="1540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2"/>
        <w:gridCol w:w="2232"/>
        <w:gridCol w:w="3897"/>
        <w:gridCol w:w="3784"/>
        <w:gridCol w:w="3895"/>
      </w:tblGrid>
      <w:tr w14:paraId="772C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1422">
            <w:pPr>
              <w:spacing w:before="120" w:after="120" w:line="288" w:lineRule="auto"/>
              <w:ind w:left="0"/>
              <w:jc w:val="center"/>
              <w:rPr>
                <w:rFonts w:hint="eastAsia" w:ascii="楷体" w:hAnsi="楷体" w:eastAsia="楷体" w:cs="楷体"/>
                <w:b/>
                <w:bCs/>
                <w:color w:val="000000" w:themeColor="text1"/>
                <w:sz w:val="24"/>
                <w:szCs w:val="24"/>
                <w14:textFill>
                  <w14:solidFill>
                    <w14:schemeClr w14:val="tx1"/>
                  </w14:solidFill>
                </w14:textFill>
                <w:woUserID w:val="1"/>
              </w:rPr>
            </w:pPr>
            <w:r>
              <w:rPr>
                <w:rFonts w:hint="eastAsia" w:ascii="楷体" w:hAnsi="楷体" w:eastAsia="楷体" w:cs="楷体"/>
                <w:b/>
                <w:bCs/>
                <w:color w:val="000000" w:themeColor="text1"/>
                <w:sz w:val="24"/>
                <w:szCs w:val="24"/>
                <w:lang w:val="en-US" w:eastAsia="zh-CN"/>
                <w14:textFill>
                  <w14:solidFill>
                    <w14:schemeClr w14:val="tx1"/>
                  </w14:solidFill>
                </w14:textFill>
                <w:woUserID w:val="1"/>
              </w:rPr>
              <w:t>考核维度</w:t>
            </w: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13BB1">
            <w:pPr>
              <w:spacing w:before="120" w:after="120" w:line="288" w:lineRule="auto"/>
              <w:ind w:left="0"/>
              <w:jc w:val="center"/>
              <w:rPr>
                <w:rFonts w:hint="eastAsia" w:ascii="楷体" w:hAnsi="楷体" w:eastAsia="楷体" w:cs="楷体"/>
                <w:b/>
                <w:bCs/>
                <w:color w:val="000000" w:themeColor="text1"/>
                <w:sz w:val="24"/>
                <w:szCs w:val="24"/>
                <w14:textFill>
                  <w14:solidFill>
                    <w14:schemeClr w14:val="tx1"/>
                  </w14:solidFill>
                </w14:textFill>
                <w:woUserID w:val="1"/>
              </w:rPr>
            </w:pPr>
            <w:r>
              <w:rPr>
                <w:rFonts w:hint="eastAsia" w:ascii="楷体" w:hAnsi="楷体" w:eastAsia="楷体" w:cs="楷体"/>
                <w:b/>
                <w:bCs/>
                <w:color w:val="000000" w:themeColor="text1"/>
                <w:sz w:val="24"/>
                <w:szCs w:val="24"/>
                <w:lang w:val="en-US" w:eastAsia="zh-CN"/>
                <w14:textFill>
                  <w14:solidFill>
                    <w14:schemeClr w14:val="tx1"/>
                  </w14:solidFill>
                </w14:textFill>
                <w:woUserID w:val="1"/>
              </w:rPr>
              <w:t>考核指标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73127">
            <w:pPr>
              <w:spacing w:before="120" w:after="120" w:line="288" w:lineRule="auto"/>
              <w:ind w:left="0"/>
              <w:jc w:val="center"/>
              <w:rPr>
                <w:rFonts w:hint="eastAsia" w:ascii="楷体" w:hAnsi="楷体" w:eastAsia="楷体" w:cs="楷体"/>
                <w:b/>
                <w:bCs/>
                <w:color w:val="000000" w:themeColor="text1"/>
                <w:sz w:val="24"/>
                <w:szCs w:val="24"/>
                <w14:textFill>
                  <w14:solidFill>
                    <w14:schemeClr w14:val="tx1"/>
                  </w14:solidFill>
                </w14:textFill>
                <w:woUserID w:val="1"/>
              </w:rPr>
            </w:pPr>
            <w:r>
              <w:rPr>
                <w:rFonts w:hint="eastAsia" w:ascii="楷体" w:hAnsi="楷体" w:eastAsia="楷体" w:cs="楷体"/>
                <w:b/>
                <w:bCs/>
                <w:color w:val="000000" w:themeColor="text1"/>
                <w:sz w:val="24"/>
                <w:szCs w:val="24"/>
                <w:lang w:val="en-US" w:eastAsia="zh-CN"/>
                <w14:textFill>
                  <w14:solidFill>
                    <w14:schemeClr w14:val="tx1"/>
                  </w14:solidFill>
                </w14:textFill>
                <w:woUserID w:val="1"/>
              </w:rPr>
              <w:t>数据来源</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D7C29">
            <w:pPr>
              <w:spacing w:before="120" w:after="120" w:line="288" w:lineRule="auto"/>
              <w:ind w:left="0"/>
              <w:jc w:val="center"/>
              <w:rPr>
                <w:rFonts w:hint="eastAsia" w:ascii="楷体" w:hAnsi="楷体" w:eastAsia="楷体" w:cs="楷体"/>
                <w:b/>
                <w:bCs/>
                <w:color w:val="000000" w:themeColor="text1"/>
                <w:sz w:val="24"/>
                <w:szCs w:val="24"/>
                <w14:textFill>
                  <w14:solidFill>
                    <w14:schemeClr w14:val="tx1"/>
                  </w14:solidFill>
                </w14:textFill>
                <w:woUserID w:val="1"/>
              </w:rPr>
            </w:pPr>
            <w:r>
              <w:rPr>
                <w:rFonts w:hint="eastAsia" w:ascii="楷体" w:hAnsi="楷体" w:eastAsia="楷体" w:cs="楷体"/>
                <w:b/>
                <w:bCs/>
                <w:color w:val="000000" w:themeColor="text1"/>
                <w:sz w:val="24"/>
                <w:szCs w:val="24"/>
                <w:lang w:val="en-US" w:eastAsia="zh-CN"/>
                <w14:textFill>
                  <w14:solidFill>
                    <w14:schemeClr w14:val="tx1"/>
                  </w14:solidFill>
                </w14:textFill>
                <w:woUserID w:val="1"/>
              </w:rPr>
              <w:t>达标标准</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86B82">
            <w:pPr>
              <w:spacing w:before="120" w:after="120" w:line="288" w:lineRule="auto"/>
              <w:ind w:left="0"/>
              <w:jc w:val="center"/>
              <w:rPr>
                <w:rFonts w:hint="eastAsia" w:ascii="楷体" w:hAnsi="楷体" w:eastAsia="楷体" w:cs="楷体"/>
                <w:b/>
                <w:bCs/>
                <w:color w:val="000000" w:themeColor="text1"/>
                <w:sz w:val="24"/>
                <w:szCs w:val="24"/>
                <w14:textFill>
                  <w14:solidFill>
                    <w14:schemeClr w14:val="tx1"/>
                  </w14:solidFill>
                </w14:textFill>
                <w:woUserID w:val="1"/>
              </w:rPr>
            </w:pPr>
            <w:r>
              <w:rPr>
                <w:rFonts w:hint="eastAsia" w:ascii="楷体" w:hAnsi="楷体" w:eastAsia="楷体" w:cs="楷体"/>
                <w:b/>
                <w:bCs/>
                <w:color w:val="000000" w:themeColor="text1"/>
                <w:sz w:val="24"/>
                <w:szCs w:val="24"/>
                <w:lang w:val="en-US" w:eastAsia="zh-CN"/>
                <w14:textFill>
                  <w14:solidFill>
                    <w14:schemeClr w14:val="tx1"/>
                  </w14:solidFill>
                </w14:textFill>
                <w:woUserID w:val="1"/>
              </w:rPr>
              <w:t>奖惩机制（与费用挂钩）</w:t>
            </w:r>
          </w:p>
        </w:tc>
      </w:tr>
      <w:tr w14:paraId="7952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47772">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招聘速度</w:t>
            </w: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CB89A">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人员到岗及时率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B079F">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甲方签收记录/系统到岗记录</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62D1A">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收到增补通知后3个工作日内到岗</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6D6A1">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每延迟1天，扣减当月积分1分</w:t>
            </w:r>
          </w:p>
        </w:tc>
      </w:tr>
      <w:tr w14:paraId="28F5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DF218">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人员稳定</w:t>
            </w: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7B7CA">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月流失率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9DCF">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人员名册更新记录</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FADC1">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≤10%</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60D16">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每超出1个百分点，扣减当月积分1分</w:t>
            </w:r>
          </w:p>
        </w:tc>
      </w:tr>
      <w:tr w14:paraId="76F8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547CF">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揽收效能</w:t>
            </w: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85BB0">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人均日揽收件数</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7E7C8">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甲方系统导出数据</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36CC">
            <w:pPr>
              <w:spacing w:before="120" w:after="120" w:line="288" w:lineRule="auto"/>
              <w:ind w:left="0"/>
              <w:jc w:val="center"/>
              <w:rPr>
                <w:rFonts w:hint="eastAsia" w:ascii="楷体" w:hAnsi="楷体" w:eastAsia="楷体" w:cs="楷体"/>
                <w:color w:val="000000" w:themeColor="text1"/>
                <w:sz w:val="24"/>
                <w:szCs w:val="24"/>
                <w:highlight w:val="yellow"/>
                <w14:textFill>
                  <w14:solidFill>
                    <w14:schemeClr w14:val="tx1"/>
                  </w14:solidFill>
                </w14:textFill>
                <w:woUserID w:val="1"/>
              </w:rPr>
            </w:pPr>
            <w:r>
              <w:rPr>
                <w:rFonts w:hint="eastAsia" w:ascii="楷体" w:hAnsi="楷体" w:eastAsia="楷体" w:cs="楷体"/>
                <w:color w:val="000000" w:themeColor="text1"/>
                <w:sz w:val="24"/>
                <w:szCs w:val="24"/>
                <w:highlight w:val="none"/>
                <w:lang w:val="en-US" w:eastAsia="zh"/>
                <w14:textFill>
                  <w14:solidFill>
                    <w14:schemeClr w14:val="tx1"/>
                  </w14:solidFill>
                </w14:textFill>
                <w:woUserID w:val="2"/>
              </w:rPr>
              <w:t>根据快递网点每月考核要求制定标准</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4A483">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按人月一口价结算时：每低于标准10%，扣减当月积分1分</w:t>
            </w:r>
          </w:p>
        </w:tc>
      </w:tr>
      <w:tr w14:paraId="36B3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FFF170">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投递质量</w:t>
            </w: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5A10A">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及时率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2D61">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甲方系统/客户投诉</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3A885">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≥98%</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07AD5">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每低于1个百分点，扣减当月积分1分</w:t>
            </w:r>
          </w:p>
        </w:tc>
      </w:tr>
      <w:tr w14:paraId="614E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3FDD5">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4AA3D">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准确率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9B9A6">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甲方系统/客户投诉</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032E9">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≥99.5%</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D7C2">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每低于0.1个百分点，扣减当月积分1分</w:t>
            </w:r>
          </w:p>
        </w:tc>
      </w:tr>
      <w:tr w14:paraId="2268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54E27">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E105E">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邮件丢失损毁率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92DE">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甲方系统/客户投诉</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4B2E1">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≤0.1%</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A0C0F">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每发生一件丢失损毁，按价值赔偿（按合同第五条），并额外扣减当月积分10分</w:t>
            </w:r>
          </w:p>
        </w:tc>
      </w:tr>
      <w:tr w14:paraId="3827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5EFCB7">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客户投诉处理</w:t>
            </w: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A4659">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投诉升级率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3D83B">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客服系统记录</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56196">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升级投诉率≤1%</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531BB">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每超出0.1个百分点，扣减当月积分2分</w:t>
            </w:r>
          </w:p>
        </w:tc>
      </w:tr>
      <w:tr w14:paraId="59B9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738E64">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7506">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生鲜优先派送达标率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D42E">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系统扫描记录/客服记录</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531CF">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到站后</w:t>
            </w:r>
            <w:r>
              <w:rPr>
                <w:rFonts w:hint="eastAsia" w:ascii="楷体" w:hAnsi="楷体" w:eastAsia="楷体" w:cs="楷体"/>
                <w:color w:val="000000" w:themeColor="text1"/>
                <w:sz w:val="24"/>
                <w:szCs w:val="24"/>
                <w:lang w:val="en-US" w:eastAsia="zh"/>
                <w14:textFill>
                  <w14:solidFill>
                    <w14:schemeClr w14:val="tx1"/>
                  </w14:solidFill>
                </w14:textFill>
                <w:woUserID w:val="2"/>
              </w:rPr>
              <w:t>2</w:t>
            </w:r>
            <w:r>
              <w:rPr>
                <w:rFonts w:hint="eastAsia" w:ascii="楷体" w:hAnsi="楷体" w:eastAsia="楷体" w:cs="楷体"/>
                <w:color w:val="000000" w:themeColor="text1"/>
                <w:sz w:val="24"/>
                <w:szCs w:val="24"/>
                <w:lang w:val="en-US" w:eastAsia="zh-CN"/>
                <w14:textFill>
                  <w14:solidFill>
                    <w14:schemeClr w14:val="tx1"/>
                  </w14:solidFill>
                </w14:textFill>
                <w:woUserID w:val="1"/>
              </w:rPr>
              <w:t>小时内派送率100%</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95C5C">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每发生一次未优先派送，扣减当月积分2分</w:t>
            </w:r>
          </w:p>
        </w:tc>
      </w:tr>
      <w:tr w14:paraId="4F8B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2DD4EA">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D97F7">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生鲜存放规范达标率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CF7B2">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客户反馈/抽查</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44339">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100%</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4AD74">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每发生一次违规，扣减当月积分10分</w:t>
            </w:r>
          </w:p>
        </w:tc>
      </w:tr>
      <w:tr w14:paraId="0BC7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3B972F">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客户服务</w:t>
            </w: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E68C8">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客户投诉率</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0BD5F">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客服记录</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BEC57">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≤1%</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63B0A">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每超出0.1个百分点，扣减当月积分5分</w:t>
            </w:r>
          </w:p>
        </w:tc>
      </w:tr>
      <w:tr w14:paraId="790A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2D651">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FA4ED">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投诉处理满意度</w:t>
            </w:r>
          </w:p>
        </w:tc>
        <w:tc>
          <w:tcPr>
            <w:tcW w:w="3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F7E87">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客户回访</w:t>
            </w:r>
          </w:p>
        </w:tc>
        <w:tc>
          <w:tcPr>
            <w:tcW w:w="3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F7DA3">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≥95%</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2223">
            <w:pPr>
              <w:spacing w:before="120" w:after="120" w:line="288" w:lineRule="auto"/>
              <w:ind w:left="0"/>
              <w:jc w:val="center"/>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val="en-US" w:eastAsia="zh-CN"/>
                <w14:textFill>
                  <w14:solidFill>
                    <w14:schemeClr w14:val="tx1"/>
                  </w14:solidFill>
                </w14:textFill>
                <w:woUserID w:val="1"/>
              </w:rPr>
              <w:t>每低于1个百分点，扣减当月积分5分</w:t>
            </w:r>
          </w:p>
        </w:tc>
      </w:tr>
      <w:tr w14:paraId="26F4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15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6DC6935">
            <w:pPr>
              <w:spacing w:before="120" w:after="120" w:line="288" w:lineRule="auto"/>
              <w:ind w:left="0" w:leftChars="0" w:firstLine="0" w:firstLineChars="0"/>
              <w:jc w:val="center"/>
              <w:rPr>
                <w:rFonts w:hint="eastAsia" w:ascii="楷体" w:hAnsi="楷体" w:eastAsia="楷体" w:cs="楷体"/>
                <w:color w:val="000000" w:themeColor="text1"/>
                <w:sz w:val="24"/>
                <w:szCs w:val="24"/>
                <w:lang w:val="en-US" w:eastAsia="zh-CN"/>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其他未列明违规：违反甲方现场管理规定、操作手册、临时通知等，但本表未明确列出的</w:t>
            </w:r>
          </w:p>
        </w:tc>
        <w:tc>
          <w:tcPr>
            <w:tcW w:w="3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7C8A8">
            <w:pPr>
              <w:spacing w:before="120" w:after="120" w:line="288" w:lineRule="auto"/>
              <w:ind w:left="0" w:leftChars="0" w:firstLine="0" w:firstLineChars="0"/>
              <w:jc w:val="center"/>
              <w:rPr>
                <w:rFonts w:hint="eastAsia" w:ascii="楷体" w:hAnsi="楷体" w:eastAsia="楷体" w:cs="楷体"/>
                <w:color w:val="000000" w:themeColor="text1"/>
                <w:sz w:val="24"/>
                <w:szCs w:val="24"/>
                <w:lang w:val="en-US" w:eastAsia="zh"/>
                <w14:textFill>
                  <w14:solidFill>
                    <w14:schemeClr w14:val="tx1"/>
                  </w14:solidFill>
                </w14:textFill>
                <w:woUserID w:val="1"/>
              </w:rPr>
            </w:pPr>
            <w:r>
              <w:rPr>
                <w:rFonts w:hint="eastAsia" w:ascii="楷体" w:hAnsi="楷体" w:eastAsia="楷体" w:cs="楷体"/>
                <w:color w:val="000000" w:themeColor="text1"/>
                <w:sz w:val="24"/>
                <w:szCs w:val="24"/>
                <w:lang w:val="en-US" w:eastAsia="zh"/>
                <w14:textFill>
                  <w14:solidFill>
                    <w14:schemeClr w14:val="tx1"/>
                  </w14:solidFill>
                </w14:textFill>
                <w:woUserID w:val="1"/>
              </w:rPr>
              <w:t>根据严重程度，单次扣除0.5~10分不等</w:t>
            </w:r>
          </w:p>
        </w:tc>
      </w:tr>
    </w:tbl>
    <w:p w14:paraId="04B85FF6">
      <w:pPr>
        <w:spacing w:before="120" w:after="120" w:line="288" w:lineRule="auto"/>
        <w:ind w:left="0"/>
        <w:rPr>
          <w:rFonts w:hint="eastAsia" w:ascii="楷体" w:hAnsi="楷体" w:eastAsia="楷体" w:cs="楷体"/>
          <w:color w:val="000000" w:themeColor="text1"/>
          <w:sz w:val="24"/>
          <w:szCs w:val="24"/>
          <w14:textFill>
            <w14:solidFill>
              <w14:schemeClr w14:val="tx1"/>
            </w14:solidFill>
          </w14:textFill>
          <w:woUserID w:val="1"/>
        </w:rPr>
      </w:pPr>
    </w:p>
    <w:p w14:paraId="18397839">
      <w:pPr>
        <w:spacing w:before="120" w:after="120" w:line="288" w:lineRule="auto"/>
        <w:ind w:left="0"/>
        <w:rPr>
          <w:rFonts w:hint="eastAsia" w:ascii="楷体" w:hAnsi="楷体" w:eastAsia="楷体" w:cs="楷体"/>
          <w:color w:val="000000" w:themeColor="text1"/>
          <w:sz w:val="24"/>
          <w:szCs w:val="24"/>
          <w14:textFill>
            <w14:solidFill>
              <w14:schemeClr w14:val="tx1"/>
            </w14:solidFill>
          </w14:textFill>
        </w:rPr>
      </w:pPr>
    </w:p>
    <w:p w14:paraId="3C13D826">
      <w:pPr>
        <w:spacing w:before="320" w:after="120" w:line="288" w:lineRule="auto"/>
        <w:ind w:left="0"/>
        <w:jc w:val="left"/>
        <w:outlineLvl w:val="1"/>
        <w:rPr>
          <w:rFonts w:hint="eastAsia" w:ascii="楷体" w:hAnsi="楷体" w:eastAsia="楷体" w:cs="楷体"/>
          <w:b/>
          <w:color w:val="000000" w:themeColor="text1"/>
          <w:sz w:val="24"/>
          <w:szCs w:val="24"/>
          <w14:textFill>
            <w14:solidFill>
              <w14:schemeClr w14:val="tx1"/>
            </w14:solidFill>
          </w14:textFill>
          <w:woUserID w:val="1"/>
        </w:rPr>
        <w:sectPr>
          <w:pgSz w:w="16840" w:h="11905" w:orient="landscape"/>
          <w:pgMar w:top="720" w:right="720" w:bottom="720" w:left="720" w:header="720" w:footer="720" w:gutter="0"/>
          <w:pgNumType w:fmt="decimal"/>
          <w:cols w:space="720" w:num="1"/>
        </w:sectPr>
      </w:pPr>
      <w:bookmarkStart w:id="13" w:name="heading_13"/>
    </w:p>
    <w:p w14:paraId="2A810595">
      <w:pPr>
        <w:spacing w:before="320" w:after="120" w:line="288" w:lineRule="auto"/>
        <w:ind w:left="0"/>
        <w:jc w:val="left"/>
        <w:outlineLvl w:val="1"/>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14:textFill>
            <w14:solidFill>
              <w14:schemeClr w14:val="tx1"/>
            </w14:solidFill>
          </w14:textFill>
          <w:woUserID w:val="1"/>
        </w:rPr>
        <w:t>附件</w:t>
      </w:r>
      <w:r>
        <w:rPr>
          <w:rFonts w:hint="eastAsia" w:ascii="楷体" w:hAnsi="楷体" w:eastAsia="楷体" w:cs="楷体"/>
          <w:b/>
          <w:color w:val="000000" w:themeColor="text1"/>
          <w:sz w:val="24"/>
          <w:szCs w:val="24"/>
          <w:lang w:eastAsia="zh"/>
          <w14:textFill>
            <w14:solidFill>
              <w14:schemeClr w14:val="tx1"/>
            </w14:solidFill>
          </w14:textFill>
          <w:woUserID w:val="1"/>
        </w:rPr>
        <w:t>二</w:t>
      </w:r>
      <w:r>
        <w:rPr>
          <w:rFonts w:hint="eastAsia" w:ascii="楷体" w:hAnsi="楷体" w:eastAsia="楷体" w:cs="楷体"/>
          <w:b/>
          <w:color w:val="000000" w:themeColor="text1"/>
          <w:sz w:val="24"/>
          <w:szCs w:val="24"/>
          <w14:textFill>
            <w14:solidFill>
              <w14:schemeClr w14:val="tx1"/>
            </w14:solidFill>
          </w14:textFill>
          <w:woUserID w:val="1"/>
        </w:rPr>
        <w:t>：积分制运行规则</w:t>
      </w:r>
    </w:p>
    <w:p w14:paraId="213C1D1E">
      <w:pPr>
        <w:spacing w:before="300" w:after="120" w:line="288" w:lineRule="auto"/>
        <w:ind w:left="0"/>
        <w:jc w:val="left"/>
        <w:outlineLvl w:val="2"/>
        <w:rPr>
          <w:rFonts w:hint="eastAsia" w:ascii="楷体" w:hAnsi="楷体" w:eastAsia="楷体" w:cs="楷体"/>
          <w:b w:val="0"/>
          <w:bCs w:val="0"/>
          <w:color w:val="000000" w:themeColor="text1"/>
          <w:sz w:val="24"/>
          <w:szCs w:val="24"/>
          <w14:textFill>
            <w14:solidFill>
              <w14:schemeClr w14:val="tx1"/>
            </w14:solidFill>
          </w14:textFill>
          <w:woUserID w:val="1"/>
        </w:rPr>
      </w:pPr>
      <w:r>
        <w:rPr>
          <w:rFonts w:hint="eastAsia" w:ascii="楷体" w:hAnsi="楷体" w:eastAsia="楷体" w:cs="楷体"/>
          <w:b w:val="0"/>
          <w:bCs w:val="0"/>
          <w:color w:val="000000" w:themeColor="text1"/>
          <w:sz w:val="24"/>
          <w:szCs w:val="24"/>
          <w14:textFill>
            <w14:solidFill>
              <w14:schemeClr w14:val="tx1"/>
            </w14:solidFill>
          </w14:textFill>
          <w:woUserID w:val="1"/>
        </w:rPr>
        <w:t>1. 积分制运行规则：</w:t>
      </w:r>
    </w:p>
    <w:p w14:paraId="5CF2A3C4">
      <w:pPr>
        <w:numPr>
          <w:ilvl w:val="0"/>
          <w:numId w:val="0"/>
        </w:numPr>
        <w:spacing w:before="120" w:after="120" w:line="288" w:lineRule="auto"/>
        <w:ind w:left="0" w:leftChars="0" w:firstLine="420" w:firstLineChars="175"/>
        <w:jc w:val="left"/>
        <w:rPr>
          <w:rFonts w:hint="eastAsia" w:ascii="楷体" w:hAnsi="楷体" w:eastAsia="楷体" w:cs="楷体"/>
          <w:b w:val="0"/>
          <w:bCs w:val="0"/>
          <w:color w:val="000000" w:themeColor="text1"/>
          <w:sz w:val="24"/>
          <w:szCs w:val="24"/>
          <w14:textFill>
            <w14:solidFill>
              <w14:schemeClr w14:val="tx1"/>
            </w14:solidFill>
          </w14:textFill>
          <w:woUserID w:val="1"/>
        </w:rPr>
      </w:pPr>
      <w:r>
        <w:rPr>
          <w:rFonts w:hint="eastAsia" w:ascii="楷体" w:hAnsi="楷体" w:eastAsia="楷体" w:cs="楷体"/>
          <w:b w:val="0"/>
          <w:bCs w:val="0"/>
          <w:color w:val="000000" w:themeColor="text1"/>
          <w:sz w:val="24"/>
          <w:szCs w:val="24"/>
          <w:lang w:eastAsia="zh-CN"/>
          <w14:textFill>
            <w14:solidFill>
              <w14:schemeClr w14:val="tx1"/>
            </w14:solidFill>
          </w14:textFill>
          <w:woUserID w:val="1"/>
        </w:rPr>
        <w:t>（</w:t>
      </w:r>
      <w:r>
        <w:rPr>
          <w:rFonts w:hint="eastAsia" w:ascii="楷体" w:hAnsi="楷体" w:eastAsia="楷体" w:cs="楷体"/>
          <w:b w:val="0"/>
          <w:bCs w:val="0"/>
          <w:color w:val="000000" w:themeColor="text1"/>
          <w:sz w:val="24"/>
          <w:szCs w:val="24"/>
          <w:lang w:val="en-US" w:eastAsia="zh-CN"/>
          <w14:textFill>
            <w14:solidFill>
              <w14:schemeClr w14:val="tx1"/>
            </w14:solidFill>
          </w14:textFill>
          <w:woUserID w:val="1"/>
        </w:rPr>
        <w:t>1</w:t>
      </w:r>
      <w:r>
        <w:rPr>
          <w:rFonts w:hint="eastAsia" w:ascii="楷体" w:hAnsi="楷体" w:eastAsia="楷体" w:cs="楷体"/>
          <w:b w:val="0"/>
          <w:bCs w:val="0"/>
          <w:color w:val="000000" w:themeColor="text1"/>
          <w:sz w:val="24"/>
          <w:szCs w:val="24"/>
          <w:lang w:eastAsia="zh-CN"/>
          <w14:textFill>
            <w14:solidFill>
              <w14:schemeClr w14:val="tx1"/>
            </w14:solidFill>
          </w14:textFill>
          <w:woUserID w:val="1"/>
        </w:rPr>
        <w:t>）</w:t>
      </w:r>
      <w:r>
        <w:rPr>
          <w:rFonts w:hint="eastAsia" w:ascii="楷体" w:hAnsi="楷体" w:eastAsia="楷体" w:cs="楷体"/>
          <w:b w:val="0"/>
          <w:bCs w:val="0"/>
          <w:color w:val="000000" w:themeColor="text1"/>
          <w:sz w:val="24"/>
          <w:szCs w:val="24"/>
          <w14:textFill>
            <w14:solidFill>
              <w14:schemeClr w14:val="tx1"/>
            </w14:solidFill>
          </w14:textFill>
          <w:woUserID w:val="1"/>
        </w:rPr>
        <w:t>积分按月进行统计，次月5日前由甲方将上月积分统计表发送乙方确认。</w:t>
      </w:r>
    </w:p>
    <w:p w14:paraId="7FA0C156">
      <w:pPr>
        <w:numPr>
          <w:ilvl w:val="0"/>
          <w:numId w:val="0"/>
        </w:numPr>
        <w:spacing w:before="120" w:after="120" w:line="288" w:lineRule="auto"/>
        <w:ind w:left="0" w:leftChars="0" w:firstLine="420" w:firstLineChars="175"/>
        <w:jc w:val="left"/>
        <w:rPr>
          <w:rFonts w:hint="eastAsia" w:ascii="楷体" w:hAnsi="楷体" w:eastAsia="楷体" w:cs="楷体"/>
          <w:b w:val="0"/>
          <w:bCs w:val="0"/>
          <w:color w:val="000000" w:themeColor="text1"/>
          <w:sz w:val="24"/>
          <w:szCs w:val="24"/>
          <w14:textFill>
            <w14:solidFill>
              <w14:schemeClr w14:val="tx1"/>
            </w14:solidFill>
          </w14:textFill>
          <w:woUserID w:val="1"/>
        </w:rPr>
      </w:pPr>
      <w:r>
        <w:rPr>
          <w:rFonts w:hint="eastAsia" w:ascii="楷体" w:hAnsi="楷体" w:eastAsia="楷体" w:cs="楷体"/>
          <w:b w:val="0"/>
          <w:bCs w:val="0"/>
          <w:color w:val="000000" w:themeColor="text1"/>
          <w:sz w:val="24"/>
          <w:szCs w:val="24"/>
          <w:lang w:eastAsia="zh-CN"/>
          <w14:textFill>
            <w14:solidFill>
              <w14:schemeClr w14:val="tx1"/>
            </w14:solidFill>
          </w14:textFill>
          <w:woUserID w:val="1"/>
        </w:rPr>
        <w:t>（</w:t>
      </w:r>
      <w:r>
        <w:rPr>
          <w:rFonts w:hint="eastAsia" w:ascii="楷体" w:hAnsi="楷体" w:eastAsia="楷体" w:cs="楷体"/>
          <w:b w:val="0"/>
          <w:bCs w:val="0"/>
          <w:color w:val="000000" w:themeColor="text1"/>
          <w:sz w:val="24"/>
          <w:szCs w:val="24"/>
          <w:lang w:val="en-US" w:eastAsia="zh-CN"/>
          <w14:textFill>
            <w14:solidFill>
              <w14:schemeClr w14:val="tx1"/>
            </w14:solidFill>
          </w14:textFill>
          <w:woUserID w:val="1"/>
        </w:rPr>
        <w:t>2</w:t>
      </w:r>
      <w:r>
        <w:rPr>
          <w:rFonts w:hint="eastAsia" w:ascii="楷体" w:hAnsi="楷体" w:eastAsia="楷体" w:cs="楷体"/>
          <w:b w:val="0"/>
          <w:bCs w:val="0"/>
          <w:color w:val="000000" w:themeColor="text1"/>
          <w:sz w:val="24"/>
          <w:szCs w:val="24"/>
          <w:lang w:eastAsia="zh-CN"/>
          <w14:textFill>
            <w14:solidFill>
              <w14:schemeClr w14:val="tx1"/>
            </w14:solidFill>
          </w14:textFill>
          <w:woUserID w:val="1"/>
        </w:rPr>
        <w:t>）</w:t>
      </w:r>
      <w:r>
        <w:rPr>
          <w:rFonts w:hint="eastAsia" w:ascii="楷体" w:hAnsi="楷体" w:eastAsia="楷体" w:cs="楷体"/>
          <w:b w:val="0"/>
          <w:bCs w:val="0"/>
          <w:color w:val="000000" w:themeColor="text1"/>
          <w:sz w:val="24"/>
          <w:szCs w:val="24"/>
          <w14:textFill>
            <w14:solidFill>
              <w14:schemeClr w14:val="tx1"/>
            </w14:solidFill>
          </w14:textFill>
          <w:woUserID w:val="1"/>
        </w:rPr>
        <w:t>积分与违约金挂钩，每积1分，在当月外包费用中扣除【10</w:t>
      </w:r>
      <w:r>
        <w:rPr>
          <w:rFonts w:hint="eastAsia" w:ascii="楷体" w:hAnsi="楷体" w:eastAsia="楷体" w:cs="楷体"/>
          <w:b w:val="0"/>
          <w:bCs w:val="0"/>
          <w:color w:val="000000" w:themeColor="text1"/>
          <w:sz w:val="24"/>
          <w:szCs w:val="24"/>
          <w:lang w:eastAsia="zh"/>
          <w14:textFill>
            <w14:solidFill>
              <w14:schemeClr w14:val="tx1"/>
            </w14:solidFill>
          </w14:textFill>
          <w:woUserID w:val="2"/>
        </w:rPr>
        <w:t>0</w:t>
      </w:r>
      <w:r>
        <w:rPr>
          <w:rFonts w:hint="eastAsia" w:ascii="楷体" w:hAnsi="楷体" w:eastAsia="楷体" w:cs="楷体"/>
          <w:b w:val="0"/>
          <w:bCs w:val="0"/>
          <w:color w:val="000000" w:themeColor="text1"/>
          <w:sz w:val="24"/>
          <w:szCs w:val="24"/>
          <w14:textFill>
            <w14:solidFill>
              <w14:schemeClr w14:val="tx1"/>
            </w14:solidFill>
          </w14:textFill>
          <w:woUserID w:val="1"/>
        </w:rPr>
        <w:t>元】。季度单人累计积分达到【1</w:t>
      </w:r>
      <w:r>
        <w:rPr>
          <w:rFonts w:hint="eastAsia" w:ascii="楷体" w:hAnsi="楷体" w:eastAsia="楷体" w:cs="楷体"/>
          <w:b w:val="0"/>
          <w:bCs w:val="0"/>
          <w:color w:val="000000" w:themeColor="text1"/>
          <w:sz w:val="24"/>
          <w:szCs w:val="24"/>
          <w:lang w:eastAsia="zh"/>
          <w14:textFill>
            <w14:solidFill>
              <w14:schemeClr w14:val="tx1"/>
            </w14:solidFill>
          </w14:textFill>
          <w:woUserID w:val="1"/>
        </w:rPr>
        <w:t>0</w:t>
      </w:r>
      <w:r>
        <w:rPr>
          <w:rFonts w:hint="eastAsia" w:ascii="楷体" w:hAnsi="楷体" w:eastAsia="楷体" w:cs="楷体"/>
          <w:b w:val="0"/>
          <w:bCs w:val="0"/>
          <w:color w:val="000000" w:themeColor="text1"/>
          <w:sz w:val="24"/>
          <w:szCs w:val="24"/>
          <w14:textFill>
            <w14:solidFill>
              <w14:schemeClr w14:val="tx1"/>
            </w14:solidFill>
          </w14:textFill>
          <w:woUserID w:val="1"/>
        </w:rPr>
        <w:t>分】的，甲方有权要求乙方将该积分对应的人员予以清退。</w:t>
      </w:r>
    </w:p>
    <w:p w14:paraId="6BCBF4C0">
      <w:pPr>
        <w:spacing w:before="300" w:after="120" w:line="288" w:lineRule="auto"/>
        <w:ind w:left="0"/>
        <w:jc w:val="left"/>
        <w:outlineLvl w:val="2"/>
        <w:rPr>
          <w:rFonts w:hint="eastAsia" w:ascii="楷体" w:hAnsi="楷体" w:eastAsia="楷体" w:cs="楷体"/>
          <w:b w:val="0"/>
          <w:bCs w:val="0"/>
          <w:color w:val="000000" w:themeColor="text1"/>
          <w:sz w:val="24"/>
          <w:szCs w:val="24"/>
          <w14:textFill>
            <w14:solidFill>
              <w14:schemeClr w14:val="tx1"/>
            </w14:solidFill>
          </w14:textFill>
          <w:woUserID w:val="1"/>
        </w:rPr>
      </w:pPr>
      <w:r>
        <w:rPr>
          <w:rFonts w:hint="eastAsia" w:ascii="楷体" w:hAnsi="楷体" w:eastAsia="楷体" w:cs="楷体"/>
          <w:b w:val="0"/>
          <w:bCs w:val="0"/>
          <w:color w:val="000000" w:themeColor="text1"/>
          <w:sz w:val="24"/>
          <w:szCs w:val="24"/>
          <w14:textFill>
            <w14:solidFill>
              <w14:schemeClr w14:val="tx1"/>
            </w14:solidFill>
          </w14:textFill>
          <w:woUserID w:val="1"/>
        </w:rPr>
        <w:t>2. 违约事实认定：</w:t>
      </w:r>
    </w:p>
    <w:p w14:paraId="19EBDB1B">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woUserID w:val="1"/>
        </w:rPr>
      </w:pPr>
      <w:r>
        <w:rPr>
          <w:rFonts w:hint="eastAsia" w:ascii="楷体" w:hAnsi="楷体" w:eastAsia="楷体" w:cs="楷体"/>
          <w:color w:val="000000" w:themeColor="text1"/>
          <w:sz w:val="24"/>
          <w:szCs w:val="24"/>
          <w:lang w:eastAsia="zh-CN"/>
          <w14:textFill>
            <w14:solidFill>
              <w14:schemeClr w14:val="tx1"/>
            </w14:solidFill>
          </w14:textFill>
          <w:woUserID w:val="1"/>
        </w:rPr>
        <w:t>（</w:t>
      </w:r>
      <w:r>
        <w:rPr>
          <w:rFonts w:hint="eastAsia" w:ascii="楷体" w:hAnsi="楷体" w:eastAsia="楷体" w:cs="楷体"/>
          <w:color w:val="000000" w:themeColor="text1"/>
          <w:sz w:val="24"/>
          <w:szCs w:val="24"/>
          <w:lang w:val="en-US" w:eastAsia="zh-CN"/>
          <w14:textFill>
            <w14:solidFill>
              <w14:schemeClr w14:val="tx1"/>
            </w14:solidFill>
          </w14:textFill>
          <w:woUserID w:val="1"/>
        </w:rPr>
        <w:t>1</w:t>
      </w:r>
      <w:r>
        <w:rPr>
          <w:rFonts w:hint="eastAsia" w:ascii="楷体" w:hAnsi="楷体" w:eastAsia="楷体" w:cs="楷体"/>
          <w:color w:val="000000" w:themeColor="text1"/>
          <w:sz w:val="24"/>
          <w:szCs w:val="24"/>
          <w:lang w:eastAsia="zh-CN"/>
          <w14:textFill>
            <w14:solidFill>
              <w14:schemeClr w14:val="tx1"/>
            </w14:solidFill>
          </w14:textFill>
          <w:woUserID w:val="1"/>
        </w:rPr>
        <w:t>）</w:t>
      </w:r>
      <w:r>
        <w:rPr>
          <w:rFonts w:hint="eastAsia" w:ascii="楷体" w:hAnsi="楷体" w:eastAsia="楷体" w:cs="楷体"/>
          <w:color w:val="000000" w:themeColor="text1"/>
          <w:sz w:val="24"/>
          <w:szCs w:val="24"/>
          <w14:textFill>
            <w14:solidFill>
              <w14:schemeClr w14:val="tx1"/>
            </w14:solidFill>
          </w14:textFill>
          <w:woUserID w:val="1"/>
        </w:rPr>
        <w:t>本表格中所有违约事实，均以甲方客服系统记录、甲方现场管理人员拍照/录像、甲方与乙方往来函件、客户有效投诉记录等作为认定依据。</w:t>
      </w:r>
    </w:p>
    <w:p w14:paraId="12C15E27">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woUserID w:val="1"/>
        </w:rPr>
        <w:sectPr>
          <w:pgSz w:w="11905" w:h="16840"/>
          <w:pgMar w:top="720" w:right="720" w:bottom="720" w:left="720" w:header="720" w:footer="720" w:gutter="0"/>
          <w:pgNumType w:fmt="decimal"/>
          <w:cols w:space="720" w:num="1"/>
        </w:sectPr>
      </w:pPr>
      <w:r>
        <w:rPr>
          <w:rFonts w:hint="eastAsia" w:ascii="楷体" w:hAnsi="楷体" w:eastAsia="楷体" w:cs="楷体"/>
          <w:color w:val="000000" w:themeColor="text1"/>
          <w:sz w:val="24"/>
          <w:szCs w:val="24"/>
          <w:lang w:eastAsia="zh-CN"/>
          <w14:textFill>
            <w14:solidFill>
              <w14:schemeClr w14:val="tx1"/>
            </w14:solidFill>
          </w14:textFill>
          <w:woUserID w:val="1"/>
        </w:rPr>
        <w:t>（</w:t>
      </w:r>
      <w:r>
        <w:rPr>
          <w:rFonts w:hint="eastAsia" w:ascii="楷体" w:hAnsi="楷体" w:eastAsia="楷体" w:cs="楷体"/>
          <w:color w:val="000000" w:themeColor="text1"/>
          <w:sz w:val="24"/>
          <w:szCs w:val="24"/>
          <w:lang w:val="en-US" w:eastAsia="zh-CN"/>
          <w14:textFill>
            <w14:solidFill>
              <w14:schemeClr w14:val="tx1"/>
            </w14:solidFill>
          </w14:textFill>
          <w:woUserID w:val="1"/>
        </w:rPr>
        <w:t>2</w:t>
      </w:r>
      <w:r>
        <w:rPr>
          <w:rFonts w:hint="eastAsia" w:ascii="楷体" w:hAnsi="楷体" w:eastAsia="楷体" w:cs="楷体"/>
          <w:color w:val="000000" w:themeColor="text1"/>
          <w:sz w:val="24"/>
          <w:szCs w:val="24"/>
          <w:lang w:eastAsia="zh-CN"/>
          <w14:textFill>
            <w14:solidFill>
              <w14:schemeClr w14:val="tx1"/>
            </w14:solidFill>
          </w14:textFill>
          <w:woUserID w:val="1"/>
        </w:rPr>
        <w:t>）</w:t>
      </w:r>
      <w:r>
        <w:rPr>
          <w:rFonts w:hint="eastAsia" w:ascii="楷体" w:hAnsi="楷体" w:eastAsia="楷体" w:cs="楷体"/>
          <w:color w:val="000000" w:themeColor="text1"/>
          <w:sz w:val="24"/>
          <w:szCs w:val="24"/>
          <w14:textFill>
            <w14:solidFill>
              <w14:schemeClr w14:val="tx1"/>
            </w14:solidFill>
          </w14:textFill>
          <w:woUserID w:val="1"/>
        </w:rPr>
        <w:t>对于“造成不良影响”、“情节严重”等情形，由甲方根据影响范围（如是否引发媒体关注、是否被邮政管理部门通报、是否造成重大客户流失等）进行书面判定。</w:t>
      </w:r>
    </w:p>
    <w:p w14:paraId="4C36B129">
      <w:pPr>
        <w:spacing w:before="320" w:after="120" w:line="288" w:lineRule="auto"/>
        <w:ind w:left="0"/>
        <w:jc w:val="left"/>
        <w:outlineLvl w:val="1"/>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附件</w:t>
      </w:r>
      <w:r>
        <w:rPr>
          <w:rFonts w:hint="eastAsia" w:ascii="楷体" w:hAnsi="楷体" w:eastAsia="楷体" w:cs="楷体"/>
          <w:b/>
          <w:color w:val="000000" w:themeColor="text1"/>
          <w:sz w:val="24"/>
          <w:szCs w:val="24"/>
          <w:lang w:eastAsia="zh"/>
          <w14:textFill>
            <w14:solidFill>
              <w14:schemeClr w14:val="tx1"/>
            </w14:solidFill>
          </w14:textFill>
          <w:woUserID w:val="1"/>
        </w:rPr>
        <w:t>三</w:t>
      </w:r>
      <w:r>
        <w:rPr>
          <w:rFonts w:hint="eastAsia" w:ascii="楷体" w:hAnsi="楷体" w:eastAsia="楷体" w:cs="楷体"/>
          <w:b/>
          <w:color w:val="000000" w:themeColor="text1"/>
          <w:sz w:val="24"/>
          <w:szCs w:val="24"/>
          <w14:textFill>
            <w14:solidFill>
              <w14:schemeClr w14:val="tx1"/>
            </w14:solidFill>
          </w14:textFill>
        </w:rPr>
        <w:t>：客户投诉处理流程说明</w:t>
      </w:r>
      <w:bookmarkEnd w:id="13"/>
    </w:p>
    <w:p w14:paraId="209D8A04">
      <w:pPr>
        <w:numPr>
          <w:ilvl w:val="0"/>
          <w:numId w:val="33"/>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投诉接收与派单</w:t>
      </w:r>
    </w:p>
    <w:p w14:paraId="2C391C7B">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甲方客服系统接收客户投诉后，即时通过系统/微信群派单至对应片区快递员</w:t>
      </w:r>
    </w:p>
    <w:p w14:paraId="374A5466">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派单信息包含：投诉类型（催件/破损/丢失/生鲜变质等）、客户联系方式、异常详情</w:t>
      </w:r>
    </w:p>
    <w:p w14:paraId="1B915E6D">
      <w:pPr>
        <w:numPr>
          <w:ilvl w:val="0"/>
          <w:numId w:val="34"/>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首次响应要求</w:t>
      </w:r>
    </w:p>
    <w:p w14:paraId="0C3B2208">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普通快递：1小时内电话联系客户，告知已收到投诉并说明处理进度</w:t>
      </w:r>
    </w:p>
    <w:p w14:paraId="25BB9CDF">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生鲜快递：30分钟内电话联系客户，优先处理</w:t>
      </w:r>
    </w:p>
    <w:p w14:paraId="594C448C">
      <w:pPr>
        <w:numPr>
          <w:ilvl w:val="0"/>
          <w:numId w:val="35"/>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处理与闭环</w:t>
      </w:r>
    </w:p>
    <w:p w14:paraId="6BEE875C">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普通快递：24小时内完成处理（核实情况、赔偿协商、重新派送等）</w:t>
      </w:r>
    </w:p>
    <w:p w14:paraId="5F9EA289">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生鲜快递：4小时内完成处理（变质件需拍照取证、及时赔付）</w:t>
      </w:r>
    </w:p>
    <w:p w14:paraId="1133FA71">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处理完成后需在客服系统上传处理结果凭证（如通话记录、赔偿凭证、派送签收单等）</w:t>
      </w:r>
    </w:p>
    <w:p w14:paraId="5315D348">
      <w:pPr>
        <w:numPr>
          <w:ilvl w:val="0"/>
          <w:numId w:val="36"/>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升级投诉处理</w:t>
      </w:r>
    </w:p>
    <w:p w14:paraId="5ECDB353">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客户表示不满或要求向上级投诉时，快递员需立即上报乙方现场管理人员</w:t>
      </w:r>
    </w:p>
    <w:p w14:paraId="6106BB0B">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乙方管理人员需在2小时内介入处理，避免投诉至邮政管理部门或媒体</w:t>
      </w:r>
    </w:p>
    <w:p w14:paraId="64FC8D6A">
      <w:pPr>
        <w:numPr>
          <w:ilvl w:val="0"/>
          <w:numId w:val="37"/>
        </w:num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生鲜件特殊要求</w:t>
      </w:r>
    </w:p>
    <w:p w14:paraId="03E31A0E">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到站后优先分拣、优先派送，不得与普通件混放</w:t>
      </w:r>
    </w:p>
    <w:p w14:paraId="2C862D50">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冷藏/冷冻品需及时联系收件人，确认家中有人或安排冷藏存放点</w:t>
      </w:r>
    </w:p>
    <w:p w14:paraId="0DF91D8E">
      <w:pPr>
        <w:numPr>
          <w:ilvl w:val="0"/>
          <w:numId w:val="0"/>
        </w:numPr>
        <w:spacing w:before="120" w:after="120" w:line="288" w:lineRule="auto"/>
        <w:ind w:left="0" w:leftChars="0" w:firstLine="420" w:firstLineChars="175"/>
        <w:jc w:val="lef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无法当天派送的，需协调冷柜存放并次日优先派送</w:t>
      </w:r>
    </w:p>
    <w:p w14:paraId="00B24674">
      <w:pPr>
        <w:spacing w:before="320" w:after="120" w:line="288" w:lineRule="auto"/>
        <w:ind w:left="0"/>
        <w:jc w:val="left"/>
        <w:outlineLvl w:val="1"/>
        <w:rPr>
          <w:rFonts w:hint="eastAsia" w:ascii="楷体" w:hAnsi="楷体" w:eastAsia="楷体" w:cs="楷体"/>
          <w:b/>
          <w:color w:val="000000" w:themeColor="text1"/>
          <w:sz w:val="24"/>
          <w:szCs w:val="24"/>
          <w14:textFill>
            <w14:solidFill>
              <w14:schemeClr w14:val="tx1"/>
            </w14:solidFill>
          </w14:textFill>
        </w:rPr>
        <w:sectPr>
          <w:pgSz w:w="11905" w:h="16840"/>
          <w:pgMar w:top="720" w:right="720" w:bottom="720" w:left="720" w:header="720" w:footer="720" w:gutter="0"/>
          <w:pgNumType w:fmt="decimal"/>
          <w:cols w:space="720" w:num="1"/>
        </w:sectPr>
      </w:pPr>
      <w:bookmarkStart w:id="14" w:name="heading_14"/>
    </w:p>
    <w:bookmarkEnd w:id="14"/>
    <w:p w14:paraId="03F47DE0">
      <w:pPr>
        <w:spacing w:before="320" w:after="120" w:line="288" w:lineRule="auto"/>
        <w:ind w:left="0"/>
        <w:jc w:val="left"/>
        <w:outlineLvl w:val="1"/>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lang w:val="en-US" w:eastAsia="zh-CN"/>
          <w14:textFill>
            <w14:solidFill>
              <w14:schemeClr w14:val="tx1"/>
            </w14:solidFill>
          </w14:textFill>
        </w:rPr>
        <w:t>附件四：</w:t>
      </w:r>
      <w:r>
        <w:rPr>
          <w:rFonts w:hint="eastAsia" w:ascii="楷体" w:hAnsi="楷体" w:eastAsia="楷体" w:cs="楷体"/>
          <w:b/>
          <w:color w:val="000000" w:themeColor="text1"/>
          <w:sz w:val="24"/>
          <w:szCs w:val="24"/>
          <w14:textFill>
            <w14:solidFill>
              <w14:schemeClr w14:val="tx1"/>
            </w14:solidFill>
          </w14:textFill>
        </w:rPr>
        <w:t>违约行为与违约金标准</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610"/>
        <w:gridCol w:w="6600"/>
        <w:gridCol w:w="4132"/>
        <w:gridCol w:w="2573"/>
      </w:tblGrid>
      <w:tr w14:paraId="0754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4" w:type="pct"/>
            <w:tcBorders>
              <w:top w:val="single" w:color="auto" w:sz="4" w:space="0"/>
              <w:left w:val="single" w:color="auto" w:sz="4" w:space="0"/>
              <w:bottom w:val="single" w:color="auto" w:sz="4" w:space="0"/>
              <w:right w:val="nil"/>
            </w:tcBorders>
            <w:shd w:val="clear" w:color="auto" w:fill="auto"/>
            <w:noWrap/>
            <w:vAlign w:val="center"/>
          </w:tcPr>
          <w:p w14:paraId="0EFE7314">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序号</w:t>
            </w:r>
          </w:p>
        </w:tc>
        <w:tc>
          <w:tcPr>
            <w:tcW w:w="528" w:type="pct"/>
            <w:tcBorders>
              <w:top w:val="single" w:color="auto" w:sz="4" w:space="0"/>
              <w:left w:val="single" w:color="000000" w:sz="4" w:space="0"/>
              <w:bottom w:val="single" w:color="auto" w:sz="4" w:space="0"/>
              <w:right w:val="single" w:color="auto" w:sz="4" w:space="0"/>
            </w:tcBorders>
            <w:shd w:val="clear" w:color="auto" w:fill="FFFFFF"/>
            <w:vAlign w:val="center"/>
          </w:tcPr>
          <w:p w14:paraId="16ABC834">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违约行为类别</w:t>
            </w:r>
          </w:p>
        </w:tc>
        <w:tc>
          <w:tcPr>
            <w:tcW w:w="2125" w:type="pct"/>
            <w:tcBorders>
              <w:top w:val="single" w:color="auto" w:sz="4" w:space="0"/>
              <w:left w:val="single" w:color="auto" w:sz="4" w:space="0"/>
              <w:bottom w:val="single" w:color="000000" w:sz="4" w:space="0"/>
              <w:right w:val="single" w:color="000000" w:sz="4" w:space="0"/>
            </w:tcBorders>
            <w:shd w:val="clear" w:color="auto" w:fill="FFFFFF"/>
            <w:vAlign w:val="center"/>
          </w:tcPr>
          <w:p w14:paraId="2EEFED13">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违约行为具体情形</w:t>
            </w:r>
          </w:p>
        </w:tc>
        <w:tc>
          <w:tcPr>
            <w:tcW w:w="1335"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7634E49">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违约金标准（元/次/票/日）</w:t>
            </w:r>
          </w:p>
        </w:tc>
        <w:tc>
          <w:tcPr>
            <w:tcW w:w="836" w:type="pct"/>
            <w:tcBorders>
              <w:top w:val="single" w:color="auto" w:sz="4" w:space="0"/>
              <w:left w:val="single" w:color="000000" w:sz="4" w:space="0"/>
              <w:bottom w:val="single" w:color="000000" w:sz="4" w:space="0"/>
              <w:right w:val="single" w:color="auto" w:sz="4" w:space="0"/>
            </w:tcBorders>
            <w:shd w:val="clear" w:color="auto" w:fill="FFFFFF"/>
            <w:vAlign w:val="center"/>
          </w:tcPr>
          <w:p w14:paraId="38F2A6D9">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认定依据</w:t>
            </w:r>
          </w:p>
        </w:tc>
      </w:tr>
      <w:tr w14:paraId="59DB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74" w:type="pct"/>
            <w:tcBorders>
              <w:top w:val="single" w:color="auto" w:sz="4" w:space="0"/>
              <w:left w:val="single" w:color="auto" w:sz="4" w:space="0"/>
              <w:bottom w:val="single" w:color="000000" w:sz="4" w:space="0"/>
              <w:right w:val="single" w:color="000000" w:sz="4" w:space="0"/>
            </w:tcBorders>
            <w:shd w:val="clear" w:color="auto" w:fill="FFFFFF"/>
            <w:vAlign w:val="center"/>
          </w:tcPr>
          <w:p w14:paraId="53BADE6A">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w:t>
            </w:r>
          </w:p>
        </w:tc>
        <w:tc>
          <w:tcPr>
            <w:tcW w:w="528" w:type="pct"/>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71410861">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一、人员招聘与信息管理类</w:t>
            </w: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5B5DE">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未按合同约定在5个工作日内提供服务人员名册、身份证复印件及简历</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24C30">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200元/次，并按100元/天计收延误费直至提交</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397F4CB">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合同签订记录/乙方提交记录</w:t>
            </w:r>
          </w:p>
        </w:tc>
      </w:tr>
      <w:tr w14:paraId="038D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A4F045C">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2</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D8D01F">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5632F">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人员变动（增减员）后未在5日内将新人员名册及身份证复印件提交甲方</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09AA2">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100元/次/人</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F9A901C">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人员变动通知记录</w:t>
            </w:r>
          </w:p>
        </w:tc>
      </w:tr>
      <w:tr w14:paraId="7441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A46F127">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3</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B728D">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75FB0">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乙方未按要求建立人员档案或档案资料不齐全</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B23B0">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200元/次</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57119A8">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甲方抽查记录</w:t>
            </w:r>
          </w:p>
        </w:tc>
      </w:tr>
      <w:tr w14:paraId="49FA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FF6F378">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4</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211EE6">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二、考勤与现场管理类</w:t>
            </w: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AEA8D">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人员到岗率：每日到岗人数低于甲方核定编制人数的95%</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BBF03">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每低1个百分点扣500元（不足1%按1%计）</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1BA3CC0">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甲方考勤统计</w:t>
            </w:r>
          </w:p>
        </w:tc>
      </w:tr>
      <w:tr w14:paraId="6400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D9C1A8C">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5</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AA2796">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1E4DB">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招聘延误：未在甲方通知要求的时间内完成人员补充（含试岗期不合格人员更换）</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3CDE3">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200元/人/天</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E1D99D3">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招聘通知记录</w:t>
            </w:r>
          </w:p>
        </w:tc>
      </w:tr>
      <w:tr w14:paraId="38BE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362FDF5">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6</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9BDA5">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2BBD7">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试岗期不合格率：同一岗位因试岗期不合格连续更换2次仍未能通过考核</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A2FA9">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核减该岗位需求，或按500元/岗位扣款</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7A787CA">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试岗期考核记录</w:t>
            </w:r>
          </w:p>
        </w:tc>
      </w:tr>
      <w:tr w14:paraId="52FD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CBFCB43">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7</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A7F54">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C39BF">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乙方指派人员不服从甲方临时工作调整或工作安排</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BD002">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100元/次/人</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AAA96EE">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现场管理记录</w:t>
            </w:r>
          </w:p>
        </w:tc>
      </w:tr>
      <w:tr w14:paraId="6275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83EEFFB">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8</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351F0B">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14F60">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迟到、早退、旷工</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5E4E7">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迟到/早退：50元/次/人</w:t>
            </w:r>
            <w:r>
              <w:rPr>
                <w:rFonts w:hint="eastAsia" w:ascii="楷体" w:hAnsi="楷体" w:eastAsia="楷体" w:cs="楷体"/>
                <w:b w:val="0"/>
                <w:color w:val="000000" w:themeColor="text1"/>
                <w:sz w:val="24"/>
                <w:szCs w:val="24"/>
                <w:lang w:val="en-US" w:eastAsia="zh-CN"/>
                <w14:textFill>
                  <w14:solidFill>
                    <w14:schemeClr w14:val="tx1"/>
                  </w14:solidFill>
                </w14:textFill>
                <w:woUserID w:val="1"/>
              </w:rPr>
              <w:br w:type="textWrapping"/>
            </w:r>
            <w:r>
              <w:rPr>
                <w:rFonts w:hint="eastAsia" w:ascii="楷体" w:hAnsi="楷体" w:eastAsia="楷体" w:cs="楷体"/>
                <w:b w:val="0"/>
                <w:color w:val="000000" w:themeColor="text1"/>
                <w:sz w:val="24"/>
                <w:szCs w:val="24"/>
                <w:lang w:val="en-US" w:eastAsia="zh-CN"/>
                <w14:textFill>
                  <w14:solidFill>
                    <w14:schemeClr w14:val="tx1"/>
                  </w14:solidFill>
                </w14:textFill>
                <w:woUserID w:val="1"/>
              </w:rPr>
              <w:t>旷工：100元/次/人</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BDF1D19">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考勤记录</w:t>
            </w:r>
          </w:p>
        </w:tc>
      </w:tr>
      <w:tr w14:paraId="4E07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C36978C">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9</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DFC1E">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BCCD9">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扰乱工作秩序、打架斗殴、酒后上岗</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CBA9B">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200-500元/次/人，情节严重立即清退</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32CB958">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现场记录/监控</w:t>
            </w:r>
          </w:p>
        </w:tc>
      </w:tr>
      <w:tr w14:paraId="6458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5419E61">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10</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7EDF8B">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三、揽收类</w:t>
            </w: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7F892">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首揽及时率不达标：揽收指令下达后30分钟内未联系客户或未及时揽收</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012B5">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50元/次/票</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84B7021">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甲方系统/工单记录</w:t>
            </w:r>
          </w:p>
        </w:tc>
      </w:tr>
      <w:tr w14:paraId="0E82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3BFD99B">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11</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0B3A65">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7B847">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揽件达成率不达标：每日揽件任务完成率低于目标值（如95%）</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F555E">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50元/日</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E23ACA4">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甲方系统统计</w:t>
            </w:r>
          </w:p>
        </w:tc>
      </w:tr>
      <w:tr w14:paraId="4C5A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86A91F1">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12</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ADEF9B">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四、投递类</w:t>
            </w: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59712">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投递延误：超过承诺时效（普通快件24小时，生鲜快件4小时）送达</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0162A">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普通快件：50-200元/票</w:t>
            </w:r>
            <w:r>
              <w:rPr>
                <w:rFonts w:hint="eastAsia" w:ascii="楷体" w:hAnsi="楷体" w:eastAsia="楷体" w:cs="楷体"/>
                <w:b w:val="0"/>
                <w:color w:val="000000" w:themeColor="text1"/>
                <w:sz w:val="24"/>
                <w:szCs w:val="24"/>
                <w:lang w:val="en-US" w:eastAsia="zh-CN"/>
                <w14:textFill>
                  <w14:solidFill>
                    <w14:schemeClr w14:val="tx1"/>
                  </w14:solidFill>
                </w14:textFill>
                <w:woUserID w:val="1"/>
              </w:rPr>
              <w:br w:type="textWrapping"/>
            </w:r>
            <w:r>
              <w:rPr>
                <w:rFonts w:hint="eastAsia" w:ascii="楷体" w:hAnsi="楷体" w:eastAsia="楷体" w:cs="楷体"/>
                <w:b w:val="0"/>
                <w:color w:val="000000" w:themeColor="text1"/>
                <w:sz w:val="24"/>
                <w:szCs w:val="24"/>
                <w:lang w:val="en-US" w:eastAsia="zh-CN"/>
                <w14:textFill>
                  <w14:solidFill>
                    <w14:schemeClr w14:val="tx1"/>
                  </w14:solidFill>
                </w14:textFill>
                <w:woUserID w:val="1"/>
              </w:rPr>
              <w:t>生鲜快件：100-500元/票</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498A9C0">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系统妥投记录/客户投诉</w:t>
            </w:r>
          </w:p>
        </w:tc>
      </w:tr>
      <w:tr w14:paraId="174A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4B09358">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13</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C3E20">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91A3F">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退更延误：退件处理超时（如收件人拒收或地址错误，48小时内未退回）</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48896">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10-50元/日/件</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30A633A">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系统退件记录</w:t>
            </w:r>
          </w:p>
        </w:tc>
      </w:tr>
      <w:tr w14:paraId="5F52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7065F7F">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14</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F5780">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DDFB0">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虚假签收：未实际送达却标记为签收（包括但不限于代收点未通知客户、虚假妥投）</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583BB">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100元/次/票</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0998E33">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系统核实/客户投诉</w:t>
            </w:r>
          </w:p>
        </w:tc>
      </w:tr>
      <w:tr w14:paraId="15E8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C258581">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15</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DFCDB">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五、邮件安全类</w:t>
            </w: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7423C">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邮件丢失/破损：因乙方原因造成邮件丢失或外包装破损、内件短少</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5B195">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按实际价值赔偿，并额外扣除200元管理费/次</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847E4BA">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客户反馈/系统核实</w:t>
            </w:r>
          </w:p>
        </w:tc>
      </w:tr>
      <w:tr w14:paraId="328E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46FDAB5">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16</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997766">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9D723">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代收款项未及时缴存：投递员代收货款、工本费等未按规定时间缴存甲方账户</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40B55">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按未缴存金额的2倍扣罚，并立即整改</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AA564B1">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财务对账记录</w:t>
            </w:r>
          </w:p>
        </w:tc>
      </w:tr>
      <w:tr w14:paraId="59DB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ED800BC">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17</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92086">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4266E">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挪用、拖欠代收款项</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D3727">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按挪用金额的5倍扣罚，且不低于2000元/次，并移送司法机关</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C673482">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财务审计/客户投诉</w:t>
            </w:r>
          </w:p>
        </w:tc>
      </w:tr>
      <w:tr w14:paraId="2C97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C356601">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18</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879D71">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六、操作规范类</w:t>
            </w: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86703">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工服及仪容：未按规定穿戴工服、反光衣、安全帽等劳保用品</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58BDF">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100元/次</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6FBB404">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现场检查/拍照</w:t>
            </w:r>
          </w:p>
        </w:tc>
      </w:tr>
      <w:tr w14:paraId="5093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9EBE180">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19</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B3648E">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FF74D">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操作违规：违反操作规范，如未按规定扫描、生鲜与普通件混放、未优先派送生鲜、未按要求与无人车交接等</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3808D">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50-200元/次</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ABF6FEB">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系统记录/现场检查</w:t>
            </w:r>
          </w:p>
        </w:tc>
      </w:tr>
      <w:tr w14:paraId="5A9B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470743E">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20</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1C54D">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3722D">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违禁品：揽收或运输国家明令禁止的违禁品（如易燃易爆、管制刀具等）</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A3AE9">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2000-10000元/次，并立即解除合同，移送司法机关</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F2122F9">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安检记录/执法机关通报</w:t>
            </w:r>
          </w:p>
        </w:tc>
      </w:tr>
      <w:tr w14:paraId="67B6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C203BD5">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21</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1B6111">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七、客户投诉与工单类</w:t>
            </w: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39A84">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工单及时解决率：甲方客服系统派发的工单未在规定时限内首次响应或未按时闭环</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4FFE1">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首次响应超时：50元/次</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D8EE9FD">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客服系统</w:t>
            </w:r>
          </w:p>
        </w:tc>
      </w:tr>
      <w:tr w14:paraId="490C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0644998">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22</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A27EA7">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C92EA">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升级投诉：客户投诉升级至邮政管理部门、12315、媒体等</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9D42E">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500-2000元/次</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DBCADBB">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官方通报/媒体记录</w:t>
            </w:r>
          </w:p>
        </w:tc>
      </w:tr>
      <w:tr w14:paraId="6652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86AA83C">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23</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19722">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47215">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邮政工单：邮政管理局转办的有效投诉工单</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3CC51">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3000元/次</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6798569">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邮政系统/官方文书</w:t>
            </w:r>
          </w:p>
        </w:tc>
      </w:tr>
      <w:tr w14:paraId="069C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F400980">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24</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201F00">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八、仲裁与法律类</w:t>
            </w: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DD4AF">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传统仲裁：因乙方原因导致甲方卷入传统仲裁程序</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4E02F">
            <w:pPr>
              <w:spacing w:before="320" w:after="120" w:line="288" w:lineRule="auto"/>
              <w:ind w:left="0"/>
              <w:jc w:val="center"/>
              <w:outlineLvl w:val="1"/>
              <w:rPr>
                <w:rFonts w:hint="eastAsia" w:ascii="楷体" w:hAnsi="楷体" w:eastAsia="楷体" w:cs="楷体"/>
                <w:b w:val="0"/>
                <w:color w:val="000000" w:themeColor="text1"/>
                <w:sz w:val="24"/>
                <w:szCs w:val="24"/>
                <w:lang w:eastAsia="zh"/>
                <w14:textFill>
                  <w14:solidFill>
                    <w14:schemeClr w14:val="tx1"/>
                  </w14:solidFill>
                </w14:textFill>
                <w:woUserID w:val="1"/>
              </w:rPr>
            </w:pPr>
            <w:r>
              <w:rPr>
                <w:rFonts w:hint="eastAsia" w:ascii="楷体" w:hAnsi="楷体" w:eastAsia="楷体" w:cs="楷体"/>
                <w:b w:val="0"/>
                <w:color w:val="000000" w:themeColor="text1"/>
                <w:sz w:val="24"/>
                <w:szCs w:val="24"/>
                <w:lang w:val="en-US" w:eastAsia="zh"/>
                <w14:textFill>
                  <w14:solidFill>
                    <w14:schemeClr w14:val="tx1"/>
                  </w14:solidFill>
                </w14:textFill>
                <w:woUserID w:val="1"/>
              </w:rPr>
              <w:t>50</w:t>
            </w:r>
            <w:r>
              <w:rPr>
                <w:rFonts w:hint="eastAsia" w:ascii="楷体" w:hAnsi="楷体" w:eastAsia="楷体" w:cs="楷体"/>
                <w:b w:val="0"/>
                <w:color w:val="000000" w:themeColor="text1"/>
                <w:sz w:val="24"/>
                <w:szCs w:val="24"/>
                <w:lang w:val="en-US" w:eastAsia="zh-CN"/>
                <w14:textFill>
                  <w14:solidFill>
                    <w14:schemeClr w14:val="tx1"/>
                  </w14:solidFill>
                </w14:textFill>
                <w:woUserID w:val="1"/>
              </w:rPr>
              <w:t>00元/次</w:t>
            </w:r>
            <w:r>
              <w:rPr>
                <w:rFonts w:hint="eastAsia" w:ascii="楷体" w:hAnsi="楷体" w:eastAsia="楷体" w:cs="楷体"/>
                <w:b w:val="0"/>
                <w:color w:val="000000" w:themeColor="text1"/>
                <w:sz w:val="24"/>
                <w:szCs w:val="24"/>
                <w:lang w:val="en-US" w:eastAsia="zh"/>
                <w14:textFill>
                  <w14:solidFill>
                    <w14:schemeClr w14:val="tx1"/>
                  </w14:solidFill>
                </w14:textFill>
                <w:woUserID w:val="1"/>
              </w:rPr>
              <w:t>，并需承担对甲方造成的所有损失</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E644A79">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法律文书</w:t>
            </w:r>
          </w:p>
        </w:tc>
      </w:tr>
      <w:tr w14:paraId="3002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6683797">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25</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B280A">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4658F">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协商仲裁：因乙方原因导致甲方卷入协商仲裁程序</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AF381">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
                <w14:textFill>
                  <w14:solidFill>
                    <w14:schemeClr w14:val="tx1"/>
                  </w14:solidFill>
                </w14:textFill>
                <w:woUserID w:val="1"/>
              </w:rPr>
              <w:t>50</w:t>
            </w:r>
            <w:r>
              <w:rPr>
                <w:rFonts w:hint="eastAsia" w:ascii="楷体" w:hAnsi="楷体" w:eastAsia="楷体" w:cs="楷体"/>
                <w:b w:val="0"/>
                <w:color w:val="000000" w:themeColor="text1"/>
                <w:sz w:val="24"/>
                <w:szCs w:val="24"/>
                <w:lang w:val="en-US" w:eastAsia="zh-CN"/>
                <w14:textFill>
                  <w14:solidFill>
                    <w14:schemeClr w14:val="tx1"/>
                  </w14:solidFill>
                </w14:textFill>
                <w:woUserID w:val="1"/>
              </w:rPr>
              <w:t>00元/次</w:t>
            </w:r>
            <w:r>
              <w:rPr>
                <w:rFonts w:hint="eastAsia" w:ascii="楷体" w:hAnsi="楷体" w:eastAsia="楷体" w:cs="楷体"/>
                <w:b w:val="0"/>
                <w:color w:val="000000" w:themeColor="text1"/>
                <w:sz w:val="24"/>
                <w:szCs w:val="24"/>
                <w:lang w:val="en-US" w:eastAsia="zh"/>
                <w14:textFill>
                  <w14:solidFill>
                    <w14:schemeClr w14:val="tx1"/>
                  </w14:solidFill>
                </w14:textFill>
                <w:woUserID w:val="1"/>
              </w:rPr>
              <w:t>，并需承担对甲方造成的所有损失</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4BE0CD2">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法律文书</w:t>
            </w:r>
          </w:p>
        </w:tc>
      </w:tr>
      <w:tr w14:paraId="3A65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7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4A16B74">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26</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E5FF8">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p>
        </w:tc>
        <w:tc>
          <w:tcPr>
            <w:tcW w:w="2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624D4">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劳动争议：因乙方未依法与指派人员建立劳动关系、缴纳社保或支付劳动报酬，导致甲方卷入劳动争议</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9F9AC">
            <w:pPr>
              <w:spacing w:before="320" w:after="120" w:line="288" w:lineRule="auto"/>
              <w:ind w:left="0"/>
              <w:jc w:val="center"/>
              <w:outlineLvl w:val="1"/>
              <w:rPr>
                <w:rFonts w:hint="eastAsia" w:ascii="楷体" w:hAnsi="楷体" w:eastAsia="楷体" w:cs="楷体"/>
                <w:b w:val="0"/>
                <w:color w:val="000000" w:themeColor="text1"/>
                <w:sz w:val="24"/>
                <w:szCs w:val="24"/>
                <w:lang w:eastAsia="zh"/>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按仲裁/诉讼裁决金额的2倍赔偿甲方，且不低于5000元/次</w:t>
            </w:r>
            <w:r>
              <w:rPr>
                <w:rFonts w:hint="eastAsia" w:ascii="楷体" w:hAnsi="楷体" w:eastAsia="楷体" w:cs="楷体"/>
                <w:b w:val="0"/>
                <w:color w:val="000000" w:themeColor="text1"/>
                <w:sz w:val="24"/>
                <w:szCs w:val="24"/>
                <w:lang w:val="en-US" w:eastAsia="zh"/>
                <w14:textFill>
                  <w14:solidFill>
                    <w14:schemeClr w14:val="tx1"/>
                  </w14:solidFill>
                </w14:textFill>
                <w:woUserID w:val="1"/>
              </w:rPr>
              <w:t>，并需承担对甲方造成的所有损失</w:t>
            </w:r>
          </w:p>
        </w:tc>
        <w:tc>
          <w:tcPr>
            <w:tcW w:w="83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94527F6">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仲裁裁决书/法院判决书</w:t>
            </w:r>
          </w:p>
        </w:tc>
      </w:tr>
      <w:tr w14:paraId="545A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74" w:type="pct"/>
            <w:tcBorders>
              <w:top w:val="single" w:color="000000" w:sz="4" w:space="0"/>
              <w:left w:val="single" w:color="auto" w:sz="4" w:space="0"/>
              <w:bottom w:val="single" w:color="auto" w:sz="4" w:space="0"/>
              <w:right w:val="single" w:color="000000" w:sz="4" w:space="0"/>
            </w:tcBorders>
            <w:shd w:val="clear" w:color="auto" w:fill="FFFFFF"/>
            <w:vAlign w:val="center"/>
          </w:tcPr>
          <w:p w14:paraId="2C9F43F7">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27</w:t>
            </w:r>
          </w:p>
        </w:tc>
        <w:tc>
          <w:tcPr>
            <w:tcW w:w="52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52EE735C">
            <w:pPr>
              <w:spacing w:before="320" w:after="120" w:line="288" w:lineRule="auto"/>
              <w:ind w:left="0"/>
              <w:jc w:val="center"/>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color w:val="000000" w:themeColor="text1"/>
                <w:sz w:val="24"/>
                <w:szCs w:val="24"/>
                <w:lang w:val="en-US" w:eastAsia="zh-CN"/>
                <w14:textFill>
                  <w14:solidFill>
                    <w14:schemeClr w14:val="tx1"/>
                  </w14:solidFill>
                </w14:textFill>
                <w:woUserID w:val="1"/>
              </w:rPr>
              <w:t>九、其他类</w:t>
            </w:r>
          </w:p>
        </w:tc>
        <w:tc>
          <w:tcPr>
            <w:tcW w:w="212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22C6D5D">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其他未列明违规：违反甲方现场管理规定、操作手册、临时通知等，但本表未明确列出的</w:t>
            </w:r>
          </w:p>
        </w:tc>
        <w:tc>
          <w:tcPr>
            <w:tcW w:w="133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5650D8C">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200元/次，情节严重可加倍</w:t>
            </w:r>
          </w:p>
        </w:tc>
        <w:tc>
          <w:tcPr>
            <w:tcW w:w="836" w:type="pct"/>
            <w:tcBorders>
              <w:top w:val="single" w:color="000000" w:sz="4" w:space="0"/>
              <w:left w:val="single" w:color="000000" w:sz="4" w:space="0"/>
              <w:bottom w:val="single" w:color="auto" w:sz="4" w:space="0"/>
              <w:right w:val="single" w:color="auto" w:sz="4" w:space="0"/>
            </w:tcBorders>
            <w:shd w:val="clear" w:color="auto" w:fill="FFFFFF"/>
            <w:vAlign w:val="center"/>
          </w:tcPr>
          <w:p w14:paraId="342027DE">
            <w:pPr>
              <w:spacing w:before="320" w:after="120" w:line="288" w:lineRule="auto"/>
              <w:ind w:left="0"/>
              <w:jc w:val="center"/>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lang w:val="en-US" w:eastAsia="zh-CN"/>
                <w14:textFill>
                  <w14:solidFill>
                    <w14:schemeClr w14:val="tx1"/>
                  </w14:solidFill>
                </w14:textFill>
                <w:woUserID w:val="1"/>
              </w:rPr>
              <w:t>甲方书面认定</w:t>
            </w:r>
          </w:p>
        </w:tc>
      </w:tr>
    </w:tbl>
    <w:p w14:paraId="1040C6F5">
      <w:pPr>
        <w:spacing w:before="320" w:after="120" w:line="288" w:lineRule="auto"/>
        <w:ind w:left="0"/>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14:textFill>
            <w14:solidFill>
              <w14:schemeClr w14:val="tx1"/>
            </w14:solidFill>
          </w14:textFill>
          <w:woUserID w:val="1"/>
        </w:rPr>
        <w:t>备注：</w:t>
      </w:r>
    </w:p>
    <w:p w14:paraId="44C0BC7D">
      <w:pPr>
        <w:numPr>
          <w:ilvl w:val="0"/>
          <w:numId w:val="38"/>
        </w:numPr>
        <w:spacing w:before="320" w:after="120" w:line="288" w:lineRule="auto"/>
        <w:ind w:left="425" w:hanging="425"/>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14:textFill>
            <w14:solidFill>
              <w14:schemeClr w14:val="tx1"/>
            </w14:solidFill>
          </w14:textFill>
          <w:woUserID w:val="1"/>
        </w:rPr>
        <w:t>“次/票/日”含义：按次发生的按次计算，按票发生的按票计算，按日统计的按日计算。</w:t>
      </w:r>
    </w:p>
    <w:p w14:paraId="27EE86B4">
      <w:pPr>
        <w:numPr>
          <w:ilvl w:val="0"/>
          <w:numId w:val="38"/>
        </w:numPr>
        <w:spacing w:before="320" w:after="120" w:line="288" w:lineRule="auto"/>
        <w:ind w:left="425" w:hanging="425"/>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14:textFill>
            <w14:solidFill>
              <w14:schemeClr w14:val="tx1"/>
            </w14:solidFill>
          </w14:textFill>
          <w:woUserID w:val="1"/>
        </w:rPr>
        <w:t>因同一行为同时触发多项违约情形的，按照最严重的一项执行，但若该行为造成甲方额外损失（如客户索赔、行政处罚等），乙方仍需另行赔偿。</w:t>
      </w:r>
    </w:p>
    <w:p w14:paraId="5D42891D">
      <w:pPr>
        <w:numPr>
          <w:ilvl w:val="0"/>
          <w:numId w:val="38"/>
        </w:numPr>
        <w:spacing w:before="320" w:after="120" w:line="288" w:lineRule="auto"/>
        <w:ind w:left="425" w:hanging="425"/>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14:textFill>
            <w14:solidFill>
              <w14:schemeClr w14:val="tx1"/>
            </w14:solidFill>
          </w14:textFill>
          <w:woUserID w:val="1"/>
        </w:rPr>
        <w:t>本附件中违约金标准与附件一《外包业务考核标准》中的扣款标准互为补充：附件一侧重于日常考核扣款，本附件侧重于违约行为罚则；两者金额不一致时，以金额较高者为准。</w:t>
      </w:r>
    </w:p>
    <w:p w14:paraId="3A335D4C">
      <w:pPr>
        <w:numPr>
          <w:ilvl w:val="0"/>
          <w:numId w:val="38"/>
        </w:numPr>
        <w:spacing w:before="320" w:after="120" w:line="288" w:lineRule="auto"/>
        <w:ind w:left="425" w:hanging="425"/>
        <w:jc w:val="left"/>
        <w:outlineLvl w:val="1"/>
        <w:rPr>
          <w:rFonts w:hint="eastAsia" w:ascii="楷体" w:hAnsi="楷体" w:eastAsia="楷体" w:cs="楷体"/>
          <w:b w:val="0"/>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14:textFill>
            <w14:solidFill>
              <w14:schemeClr w14:val="tx1"/>
            </w14:solidFill>
          </w14:textFill>
          <w:woUserID w:val="1"/>
        </w:rPr>
        <w:t>甲方有权根据业务发展和风险管控需要，适时调整本附件内容，但应提前7个工作日书面通知乙方。</w:t>
      </w:r>
    </w:p>
    <w:p w14:paraId="30181F08">
      <w:pPr>
        <w:numPr>
          <w:ilvl w:val="0"/>
          <w:numId w:val="38"/>
        </w:numPr>
        <w:spacing w:before="320" w:after="120" w:line="288" w:lineRule="auto"/>
        <w:ind w:left="425" w:hanging="425"/>
        <w:jc w:val="left"/>
        <w:outlineLvl w:val="1"/>
        <w:rPr>
          <w:rFonts w:hint="eastAsia" w:ascii="楷体" w:hAnsi="楷体" w:eastAsia="楷体" w:cs="楷体"/>
          <w:b/>
          <w:color w:val="000000" w:themeColor="text1"/>
          <w:sz w:val="24"/>
          <w:szCs w:val="24"/>
          <w14:textFill>
            <w14:solidFill>
              <w14:schemeClr w14:val="tx1"/>
            </w14:solidFill>
          </w14:textFill>
          <w:woUserID w:val="1"/>
        </w:rPr>
      </w:pPr>
      <w:r>
        <w:rPr>
          <w:rFonts w:hint="eastAsia" w:ascii="楷体" w:hAnsi="楷体" w:eastAsia="楷体" w:cs="楷体"/>
          <w:b w:val="0"/>
          <w:color w:val="000000" w:themeColor="text1"/>
          <w:sz w:val="24"/>
          <w:szCs w:val="24"/>
          <w:highlight w:val="none"/>
          <w:lang w:eastAsia="zh"/>
          <w14:textFill>
            <w14:solidFill>
              <w14:schemeClr w14:val="tx1"/>
            </w14:solidFill>
          </w14:textFill>
          <w:woUserID w:val="2"/>
        </w:rPr>
        <w:t>具体赔偿金额根据甲方及其客户系统导出的所需赔偿的金额数据为准。</w:t>
      </w:r>
    </w:p>
    <w:p w14:paraId="10648582">
      <w:pPr>
        <w:spacing w:before="320" w:after="120" w:line="288" w:lineRule="auto"/>
        <w:ind w:left="0"/>
        <w:jc w:val="left"/>
        <w:outlineLvl w:val="1"/>
        <w:rPr>
          <w:rFonts w:hint="eastAsia" w:ascii="楷体" w:hAnsi="楷体" w:eastAsia="楷体" w:cs="楷体"/>
          <w:b/>
          <w:color w:val="000000" w:themeColor="text1"/>
          <w:sz w:val="24"/>
          <w:szCs w:val="24"/>
          <w14:textFill>
            <w14:solidFill>
              <w14:schemeClr w14:val="tx1"/>
            </w14:solidFill>
          </w14:textFill>
        </w:rPr>
      </w:pPr>
    </w:p>
    <w:p w14:paraId="7017EC7C">
      <w:pPr>
        <w:spacing w:before="120" w:after="120" w:line="288" w:lineRule="auto"/>
        <w:ind w:left="0"/>
        <w:jc w:val="left"/>
        <w:rPr>
          <w:rFonts w:hint="eastAsia" w:ascii="楷体" w:hAnsi="楷体" w:eastAsia="楷体" w:cs="楷体"/>
          <w:color w:val="000000" w:themeColor="text1"/>
          <w:sz w:val="24"/>
          <w:szCs w:val="24"/>
          <w14:textFill>
            <w14:solidFill>
              <w14:schemeClr w14:val="tx1"/>
            </w14:solidFill>
          </w14:textFill>
        </w:rPr>
      </w:pPr>
    </w:p>
    <w:sectPr>
      <w:pgSz w:w="16840" w:h="11905" w:orient="landscape"/>
      <w:pgMar w:top="720" w:right="720" w:bottom="720" w:left="7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BB16">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0C85A0">
                          <w:pPr>
                            <w:pStyle w:val="4"/>
                            <w:rPr>
                              <w:rFonts w:hint="eastAsia" w:ascii="楷体" w:hAnsi="楷体" w:eastAsia="楷体" w:cs="楷体"/>
                              <w:sz w:val="21"/>
                              <w:szCs w:val="21"/>
                            </w:rPr>
                          </w:pPr>
                          <w:r>
                            <w:rPr>
                              <w:rFonts w:hint="eastAsia" w:ascii="楷体" w:hAnsi="楷体" w:eastAsia="楷体" w:cs="楷体"/>
                              <w:sz w:val="21"/>
                              <w:szCs w:val="21"/>
                            </w:rPr>
                            <w:t xml:space="preserve">第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r>
                            <w:rPr>
                              <w:rFonts w:hint="eastAsia" w:ascii="楷体" w:hAnsi="楷体" w:eastAsia="楷体" w:cs="楷体"/>
                              <w:sz w:val="21"/>
                              <w:szCs w:val="21"/>
                            </w:rPr>
                            <w:t xml:space="preserve"> 页 共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NUMPAGES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11</w:t>
                          </w:r>
                          <w:r>
                            <w:rPr>
                              <w:rFonts w:hint="eastAsia" w:ascii="楷体" w:hAnsi="楷体" w:eastAsia="楷体" w:cs="楷体"/>
                              <w:sz w:val="21"/>
                              <w:szCs w:val="21"/>
                            </w:rPr>
                            <w:fldChar w:fldCharType="end"/>
                          </w:r>
                          <w:r>
                            <w:rPr>
                              <w:rFonts w:hint="eastAsia" w:ascii="楷体" w:hAnsi="楷体" w:eastAsia="楷体" w:cs="楷体"/>
                              <w:sz w:val="21"/>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0C85A0">
                    <w:pPr>
                      <w:pStyle w:val="4"/>
                      <w:rPr>
                        <w:rFonts w:hint="eastAsia" w:ascii="楷体" w:hAnsi="楷体" w:eastAsia="楷体" w:cs="楷体"/>
                        <w:sz w:val="21"/>
                        <w:szCs w:val="21"/>
                      </w:rPr>
                    </w:pPr>
                    <w:r>
                      <w:rPr>
                        <w:rFonts w:hint="eastAsia" w:ascii="楷体" w:hAnsi="楷体" w:eastAsia="楷体" w:cs="楷体"/>
                        <w:sz w:val="21"/>
                        <w:szCs w:val="21"/>
                      </w:rPr>
                      <w:t xml:space="preserve">第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r>
                      <w:rPr>
                        <w:rFonts w:hint="eastAsia" w:ascii="楷体" w:hAnsi="楷体" w:eastAsia="楷体" w:cs="楷体"/>
                        <w:sz w:val="21"/>
                        <w:szCs w:val="21"/>
                      </w:rPr>
                      <w:t xml:space="preserve"> 页 共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NUMPAGES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11</w:t>
                    </w:r>
                    <w:r>
                      <w:rPr>
                        <w:rFonts w:hint="eastAsia" w:ascii="楷体" w:hAnsi="楷体" w:eastAsia="楷体" w:cs="楷体"/>
                        <w:sz w:val="21"/>
                        <w:szCs w:val="21"/>
                      </w:rPr>
                      <w:fldChar w:fldCharType="end"/>
                    </w:r>
                    <w:r>
                      <w:rPr>
                        <w:rFonts w:hint="eastAsia" w:ascii="楷体" w:hAnsi="楷体" w:eastAsia="楷体" w:cs="楷体"/>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2"/>
      <w:numFmt w:val="decimal"/>
      <w:lvlText w:val="%1."/>
      <w:lvlJc w:val="left"/>
      <w:rPr>
        <w:rFonts w:hint="default"/>
        <w:color w:val="000000" w:themeColor="text1"/>
        <w14:textFill>
          <w14:solidFill>
            <w14:schemeClr w14:val="tx1"/>
          </w14:solidFill>
        </w14:textFill>
      </w:rPr>
    </w:lvl>
  </w:abstractNum>
  <w:abstractNum w:abstractNumId="1">
    <w:nsid w:val="845B5372"/>
    <w:multiLevelType w:val="singleLevel"/>
    <w:tmpl w:val="845B5372"/>
    <w:lvl w:ilvl="0" w:tentative="0">
      <w:start w:val="13"/>
      <w:numFmt w:val="decimal"/>
      <w:lvlText w:val="%1."/>
      <w:lvlJc w:val="left"/>
      <w:rPr>
        <w:rFonts w:hint="default"/>
        <w:color w:val="000000" w:themeColor="text1"/>
        <w14:textFill>
          <w14:solidFill>
            <w14:schemeClr w14:val="tx1"/>
          </w14:solidFill>
        </w14:textFill>
      </w:rPr>
    </w:lvl>
  </w:abstractNum>
  <w:abstractNum w:abstractNumId="2">
    <w:nsid w:val="8461FADE"/>
    <w:multiLevelType w:val="singleLevel"/>
    <w:tmpl w:val="8461FADE"/>
    <w:lvl w:ilvl="0" w:tentative="0">
      <w:start w:val="4"/>
      <w:numFmt w:val="decimal"/>
      <w:lvlText w:val="%1."/>
      <w:lvlJc w:val="left"/>
      <w:rPr>
        <w:rFonts w:hint="default"/>
        <w:color w:val="000000" w:themeColor="text1"/>
        <w14:textFill>
          <w14:solidFill>
            <w14:schemeClr w14:val="tx1"/>
          </w14:solidFill>
        </w14:textFill>
      </w:rPr>
    </w:lvl>
  </w:abstractNum>
  <w:abstractNum w:abstractNumId="3">
    <w:nsid w:val="91995D4F"/>
    <w:multiLevelType w:val="singleLevel"/>
    <w:tmpl w:val="91995D4F"/>
    <w:lvl w:ilvl="0" w:tentative="0">
      <w:start w:val="10"/>
      <w:numFmt w:val="decimal"/>
      <w:lvlText w:val="%1."/>
      <w:lvlJc w:val="left"/>
      <w:rPr>
        <w:rFonts w:hint="default"/>
        <w:color w:val="000000" w:themeColor="text1"/>
        <w14:textFill>
          <w14:solidFill>
            <w14:schemeClr w14:val="tx1"/>
          </w14:solidFill>
        </w14:textFill>
      </w:rPr>
    </w:lvl>
  </w:abstractNum>
  <w:abstractNum w:abstractNumId="4">
    <w:nsid w:val="9288B902"/>
    <w:multiLevelType w:val="singleLevel"/>
    <w:tmpl w:val="9288B902"/>
    <w:lvl w:ilvl="0" w:tentative="0">
      <w:start w:val="2"/>
      <w:numFmt w:val="decimal"/>
      <w:lvlText w:val="%1."/>
      <w:lvlJc w:val="left"/>
      <w:rPr>
        <w:rFonts w:hint="default"/>
        <w:color w:val="000000" w:themeColor="text1"/>
        <w14:textFill>
          <w14:solidFill>
            <w14:schemeClr w14:val="tx1"/>
          </w14:solidFill>
        </w14:textFill>
      </w:rPr>
    </w:lvl>
  </w:abstractNum>
  <w:abstractNum w:abstractNumId="5">
    <w:nsid w:val="A0F05207"/>
    <w:multiLevelType w:val="singleLevel"/>
    <w:tmpl w:val="A0F05207"/>
    <w:lvl w:ilvl="0" w:tentative="0">
      <w:start w:val="2"/>
      <w:numFmt w:val="decimal"/>
      <w:lvlText w:val="%1."/>
      <w:lvlJc w:val="left"/>
      <w:rPr>
        <w:rFonts w:hint="default"/>
        <w:color w:val="000000" w:themeColor="text1"/>
        <w14:textFill>
          <w14:solidFill>
            <w14:schemeClr w14:val="tx1"/>
          </w14:solidFill>
        </w14:textFill>
      </w:rPr>
    </w:lvl>
  </w:abstractNum>
  <w:abstractNum w:abstractNumId="6">
    <w:nsid w:val="B53F3350"/>
    <w:multiLevelType w:val="singleLevel"/>
    <w:tmpl w:val="B53F3350"/>
    <w:lvl w:ilvl="0" w:tentative="0">
      <w:start w:val="3"/>
      <w:numFmt w:val="decimal"/>
      <w:lvlText w:val="%1."/>
      <w:lvlJc w:val="left"/>
      <w:rPr>
        <w:rFonts w:hint="default"/>
        <w:color w:val="000000" w:themeColor="text1"/>
        <w14:textFill>
          <w14:solidFill>
            <w14:schemeClr w14:val="tx1"/>
          </w14:solidFill>
        </w14:textFill>
      </w:rPr>
    </w:lvl>
  </w:abstractNum>
  <w:abstractNum w:abstractNumId="7">
    <w:nsid w:val="B8CEF35B"/>
    <w:multiLevelType w:val="singleLevel"/>
    <w:tmpl w:val="B8CEF35B"/>
    <w:lvl w:ilvl="0" w:tentative="0">
      <w:start w:val="11"/>
      <w:numFmt w:val="decimal"/>
      <w:lvlText w:val="%1."/>
      <w:lvlJc w:val="left"/>
      <w:rPr>
        <w:rFonts w:hint="default"/>
        <w:color w:val="000000" w:themeColor="text1"/>
        <w14:textFill>
          <w14:solidFill>
            <w14:schemeClr w14:val="tx1"/>
          </w14:solidFill>
        </w14:textFill>
      </w:rPr>
    </w:lvl>
  </w:abstractNum>
  <w:abstractNum w:abstractNumId="8">
    <w:nsid w:val="BB64CFA9"/>
    <w:multiLevelType w:val="singleLevel"/>
    <w:tmpl w:val="BB64CFA9"/>
    <w:lvl w:ilvl="0" w:tentative="0">
      <w:start w:val="9"/>
      <w:numFmt w:val="decimal"/>
      <w:lvlText w:val="%1."/>
      <w:lvlJc w:val="left"/>
      <w:rPr>
        <w:rFonts w:hint="default"/>
        <w:color w:val="000000" w:themeColor="text1"/>
        <w14:textFill>
          <w14:solidFill>
            <w14:schemeClr w14:val="tx1"/>
          </w14:solidFill>
        </w14:textFill>
      </w:rPr>
    </w:lvl>
  </w:abstractNum>
  <w:abstractNum w:abstractNumId="9">
    <w:nsid w:val="C4E0D24A"/>
    <w:multiLevelType w:val="singleLevel"/>
    <w:tmpl w:val="C4E0D24A"/>
    <w:lvl w:ilvl="0" w:tentative="0">
      <w:start w:val="4"/>
      <w:numFmt w:val="decimal"/>
      <w:lvlText w:val="%1."/>
      <w:lvlJc w:val="left"/>
      <w:rPr>
        <w:rFonts w:hint="default"/>
        <w:color w:val="000000" w:themeColor="text1"/>
        <w14:textFill>
          <w14:solidFill>
            <w14:schemeClr w14:val="tx1"/>
          </w14:solidFill>
        </w14:textFill>
      </w:rPr>
    </w:lvl>
  </w:abstractNum>
  <w:abstractNum w:abstractNumId="10">
    <w:nsid w:val="CF092B84"/>
    <w:multiLevelType w:val="singleLevel"/>
    <w:tmpl w:val="CF092B84"/>
    <w:lvl w:ilvl="0" w:tentative="0">
      <w:start w:val="2"/>
      <w:numFmt w:val="decimal"/>
      <w:lvlText w:val="%1."/>
      <w:lvlJc w:val="left"/>
      <w:rPr>
        <w:rFonts w:hint="default"/>
        <w:color w:val="000000" w:themeColor="text1"/>
        <w14:textFill>
          <w14:solidFill>
            <w14:schemeClr w14:val="tx1"/>
          </w14:solidFill>
        </w14:textFill>
      </w:rPr>
    </w:lvl>
  </w:abstractNum>
  <w:abstractNum w:abstractNumId="11">
    <w:nsid w:val="DAD3A854"/>
    <w:multiLevelType w:val="singleLevel"/>
    <w:tmpl w:val="DAD3A854"/>
    <w:lvl w:ilvl="0" w:tentative="0">
      <w:start w:val="5"/>
      <w:numFmt w:val="decimal"/>
      <w:lvlText w:val="%1."/>
      <w:lvlJc w:val="left"/>
      <w:rPr>
        <w:rFonts w:hint="default"/>
        <w:color w:val="000000" w:themeColor="text1"/>
        <w14:textFill>
          <w14:solidFill>
            <w14:schemeClr w14:val="tx1"/>
          </w14:solidFill>
        </w14:textFill>
      </w:rPr>
    </w:lvl>
  </w:abstractNum>
  <w:abstractNum w:abstractNumId="12">
    <w:nsid w:val="E093A4B0"/>
    <w:multiLevelType w:val="singleLevel"/>
    <w:tmpl w:val="E093A4B0"/>
    <w:lvl w:ilvl="0" w:tentative="0">
      <w:start w:val="6"/>
      <w:numFmt w:val="decimal"/>
      <w:lvlText w:val="%1."/>
      <w:lvlJc w:val="left"/>
      <w:rPr>
        <w:rFonts w:hint="default"/>
        <w:color w:val="000000" w:themeColor="text1"/>
        <w14:textFill>
          <w14:solidFill>
            <w14:schemeClr w14:val="tx1"/>
          </w14:solidFill>
        </w14:textFill>
      </w:rPr>
    </w:lvl>
  </w:abstractNum>
  <w:abstractNum w:abstractNumId="13">
    <w:nsid w:val="F0E89278"/>
    <w:multiLevelType w:val="singleLevel"/>
    <w:tmpl w:val="F0E89278"/>
    <w:lvl w:ilvl="0" w:tentative="0">
      <w:start w:val="1"/>
      <w:numFmt w:val="decimal"/>
      <w:lvlText w:val="%1."/>
      <w:lvlJc w:val="left"/>
      <w:rPr>
        <w:rFonts w:hint="default"/>
        <w:color w:val="000000" w:themeColor="text1"/>
        <w14:textFill>
          <w14:solidFill>
            <w14:schemeClr w14:val="tx1"/>
          </w14:solidFill>
        </w14:textFill>
      </w:rPr>
    </w:lvl>
  </w:abstractNum>
  <w:abstractNum w:abstractNumId="14">
    <w:nsid w:val="F21DBC84"/>
    <w:multiLevelType w:val="singleLevel"/>
    <w:tmpl w:val="F21DBC84"/>
    <w:lvl w:ilvl="0" w:tentative="0">
      <w:start w:val="1"/>
      <w:numFmt w:val="decimal"/>
      <w:lvlText w:val="%1."/>
      <w:lvlJc w:val="left"/>
      <w:rPr>
        <w:rFonts w:hint="default"/>
        <w:color w:val="000000" w:themeColor="text1"/>
        <w14:textFill>
          <w14:solidFill>
            <w14:schemeClr w14:val="tx1"/>
          </w14:solidFill>
        </w14:textFill>
      </w:rPr>
    </w:lvl>
  </w:abstractNum>
  <w:abstractNum w:abstractNumId="15">
    <w:nsid w:val="F7735DC9"/>
    <w:multiLevelType w:val="singleLevel"/>
    <w:tmpl w:val="F7735DC9"/>
    <w:lvl w:ilvl="0" w:tentative="0">
      <w:start w:val="5"/>
      <w:numFmt w:val="decimal"/>
      <w:lvlText w:val="%1."/>
      <w:lvlJc w:val="left"/>
      <w:rPr>
        <w:rFonts w:hint="default"/>
        <w:color w:val="000000" w:themeColor="text1"/>
        <w14:textFill>
          <w14:solidFill>
            <w14:schemeClr w14:val="tx1"/>
          </w14:solidFill>
        </w14:textFill>
      </w:rPr>
    </w:lvl>
  </w:abstractNum>
  <w:abstractNum w:abstractNumId="16">
    <w:nsid w:val="FE7E6249"/>
    <w:multiLevelType w:val="singleLevel"/>
    <w:tmpl w:val="FE7E6249"/>
    <w:lvl w:ilvl="0" w:tentative="0">
      <w:start w:val="1"/>
      <w:numFmt w:val="decimal"/>
      <w:lvlText w:val="%1."/>
      <w:lvlJc w:val="left"/>
      <w:pPr>
        <w:tabs>
          <w:tab w:val="left" w:pos="425"/>
        </w:tabs>
        <w:ind w:left="425" w:leftChars="0" w:hanging="425" w:firstLineChars="0"/>
      </w:pPr>
      <w:rPr>
        <w:rFonts w:hint="default"/>
      </w:rPr>
    </w:lvl>
  </w:abstractNum>
  <w:abstractNum w:abstractNumId="17">
    <w:nsid w:val="FEC2EA36"/>
    <w:multiLevelType w:val="singleLevel"/>
    <w:tmpl w:val="FEC2EA36"/>
    <w:lvl w:ilvl="0" w:tentative="0">
      <w:start w:val="3"/>
      <w:numFmt w:val="decimal"/>
      <w:lvlText w:val="%1."/>
      <w:lvlJc w:val="left"/>
      <w:rPr>
        <w:rFonts w:hint="default"/>
        <w:color w:val="000000" w:themeColor="text1"/>
        <w14:textFill>
          <w14:solidFill>
            <w14:schemeClr w14:val="tx1"/>
          </w14:solidFill>
        </w14:textFill>
      </w:rPr>
    </w:lvl>
  </w:abstractNum>
  <w:abstractNum w:abstractNumId="18">
    <w:nsid w:val="0053208E"/>
    <w:multiLevelType w:val="singleLevel"/>
    <w:tmpl w:val="0053208E"/>
    <w:lvl w:ilvl="0" w:tentative="0">
      <w:start w:val="1"/>
      <w:numFmt w:val="decimal"/>
      <w:lvlText w:val="%1."/>
      <w:lvlJc w:val="left"/>
      <w:rPr>
        <w:rFonts w:hint="default"/>
        <w:color w:val="000000" w:themeColor="text1"/>
        <w14:textFill>
          <w14:solidFill>
            <w14:schemeClr w14:val="tx1"/>
          </w14:solidFill>
        </w14:textFill>
      </w:rPr>
    </w:lvl>
  </w:abstractNum>
  <w:abstractNum w:abstractNumId="19">
    <w:nsid w:val="03A63A41"/>
    <w:multiLevelType w:val="singleLevel"/>
    <w:tmpl w:val="03A63A41"/>
    <w:lvl w:ilvl="0" w:tentative="0">
      <w:start w:val="4"/>
      <w:numFmt w:val="decimal"/>
      <w:lvlText w:val="%1."/>
      <w:lvlJc w:val="left"/>
      <w:rPr>
        <w:rFonts w:hint="default"/>
        <w:color w:val="000000" w:themeColor="text1"/>
        <w14:textFill>
          <w14:solidFill>
            <w14:schemeClr w14:val="tx1"/>
          </w14:solidFill>
        </w14:textFill>
      </w:rPr>
    </w:lvl>
  </w:abstractNum>
  <w:abstractNum w:abstractNumId="20">
    <w:nsid w:val="0F9F9CCA"/>
    <w:multiLevelType w:val="singleLevel"/>
    <w:tmpl w:val="0F9F9CCA"/>
    <w:lvl w:ilvl="0" w:tentative="0">
      <w:start w:val="2"/>
      <w:numFmt w:val="decimal"/>
      <w:lvlText w:val="%1."/>
      <w:lvlJc w:val="left"/>
      <w:rPr>
        <w:rFonts w:hint="default"/>
        <w:color w:val="000000" w:themeColor="text1"/>
        <w14:textFill>
          <w14:solidFill>
            <w14:schemeClr w14:val="tx1"/>
          </w14:solidFill>
        </w14:textFill>
      </w:rPr>
    </w:lvl>
  </w:abstractNum>
  <w:abstractNum w:abstractNumId="21">
    <w:nsid w:val="12EADF99"/>
    <w:multiLevelType w:val="singleLevel"/>
    <w:tmpl w:val="12EADF99"/>
    <w:lvl w:ilvl="0" w:tentative="0">
      <w:start w:val="1"/>
      <w:numFmt w:val="decimal"/>
      <w:lvlText w:val="%1."/>
      <w:lvlJc w:val="left"/>
      <w:rPr>
        <w:rFonts w:hint="default"/>
        <w:color w:val="000000" w:themeColor="text1"/>
        <w14:textFill>
          <w14:solidFill>
            <w14:schemeClr w14:val="tx1"/>
          </w14:solidFill>
        </w14:textFill>
      </w:rPr>
    </w:lvl>
  </w:abstractNum>
  <w:abstractNum w:abstractNumId="22">
    <w:nsid w:val="1ACDE60F"/>
    <w:multiLevelType w:val="singleLevel"/>
    <w:tmpl w:val="1ACDE60F"/>
    <w:lvl w:ilvl="0" w:tentative="0">
      <w:start w:val="14"/>
      <w:numFmt w:val="decimal"/>
      <w:lvlText w:val="%1."/>
      <w:lvlJc w:val="left"/>
      <w:rPr>
        <w:rFonts w:hint="default"/>
        <w:color w:val="000000" w:themeColor="text1"/>
        <w14:textFill>
          <w14:solidFill>
            <w14:schemeClr w14:val="tx1"/>
          </w14:solidFill>
        </w14:textFill>
      </w:rPr>
    </w:lvl>
  </w:abstractNum>
  <w:abstractNum w:abstractNumId="23">
    <w:nsid w:val="23E97754"/>
    <w:multiLevelType w:val="singleLevel"/>
    <w:tmpl w:val="23E97754"/>
    <w:lvl w:ilvl="0" w:tentative="0">
      <w:start w:val="2"/>
      <w:numFmt w:val="decimal"/>
      <w:lvlText w:val="%1."/>
      <w:lvlJc w:val="left"/>
      <w:rPr>
        <w:rFonts w:hint="default"/>
        <w:color w:val="000000" w:themeColor="text1"/>
        <w14:textFill>
          <w14:solidFill>
            <w14:schemeClr w14:val="tx1"/>
          </w14:solidFill>
        </w14:textFill>
      </w:rPr>
    </w:lvl>
  </w:abstractNum>
  <w:abstractNum w:abstractNumId="24">
    <w:nsid w:val="243FCF68"/>
    <w:multiLevelType w:val="singleLevel"/>
    <w:tmpl w:val="243FCF68"/>
    <w:lvl w:ilvl="0" w:tentative="0">
      <w:start w:val="3"/>
      <w:numFmt w:val="decimal"/>
      <w:lvlText w:val="%1."/>
      <w:lvlJc w:val="left"/>
      <w:rPr>
        <w:rFonts w:hint="default"/>
        <w:color w:val="000000" w:themeColor="text1"/>
        <w14:textFill>
          <w14:solidFill>
            <w14:schemeClr w14:val="tx1"/>
          </w14:solidFill>
        </w14:textFill>
      </w:rPr>
    </w:lvl>
  </w:abstractNum>
  <w:abstractNum w:abstractNumId="25">
    <w:nsid w:val="25B654F3"/>
    <w:multiLevelType w:val="singleLevel"/>
    <w:tmpl w:val="25B654F3"/>
    <w:lvl w:ilvl="0" w:tentative="0">
      <w:start w:val="1"/>
      <w:numFmt w:val="decimal"/>
      <w:lvlText w:val="%1."/>
      <w:lvlJc w:val="left"/>
      <w:rPr>
        <w:rFonts w:hint="default"/>
        <w:color w:val="000000" w:themeColor="text1"/>
        <w14:textFill>
          <w14:solidFill>
            <w14:schemeClr w14:val="tx1"/>
          </w14:solidFill>
        </w14:textFill>
      </w:rPr>
    </w:lvl>
  </w:abstractNum>
  <w:abstractNum w:abstractNumId="26">
    <w:nsid w:val="30FC5B15"/>
    <w:multiLevelType w:val="singleLevel"/>
    <w:tmpl w:val="30FC5B15"/>
    <w:lvl w:ilvl="0" w:tentative="0">
      <w:start w:val="7"/>
      <w:numFmt w:val="decimal"/>
      <w:lvlText w:val="%1."/>
      <w:lvlJc w:val="left"/>
      <w:rPr>
        <w:rFonts w:hint="default"/>
        <w:color w:val="000000" w:themeColor="text1"/>
        <w14:textFill>
          <w14:solidFill>
            <w14:schemeClr w14:val="tx1"/>
          </w14:solidFill>
        </w14:textFill>
      </w:rPr>
    </w:lvl>
  </w:abstractNum>
  <w:abstractNum w:abstractNumId="27">
    <w:nsid w:val="32A7AF2D"/>
    <w:multiLevelType w:val="multilevel"/>
    <w:tmpl w:val="32A7AF2D"/>
    <w:lvl w:ilvl="0" w:tentative="0">
      <w:start w:val="1"/>
      <w:numFmt w:val="decimal"/>
      <w:lvlText w:val="%1."/>
      <w:lvlJc w:val="left"/>
      <w:rPr>
        <w:rFonts w:hint="default"/>
        <w:color w:val="000000" w:themeColor="text1"/>
        <w14:textFill>
          <w14:solidFill>
            <w14:schemeClr w14:val="tx1"/>
          </w14:solidFill>
        </w14:textFill>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8">
    <w:nsid w:val="35E83B33"/>
    <w:multiLevelType w:val="singleLevel"/>
    <w:tmpl w:val="35E83B33"/>
    <w:lvl w:ilvl="0" w:tentative="0">
      <w:start w:val="3"/>
      <w:numFmt w:val="decimal"/>
      <w:lvlText w:val="%1."/>
      <w:lvlJc w:val="left"/>
      <w:rPr>
        <w:rFonts w:hint="default"/>
        <w:color w:val="000000" w:themeColor="text1"/>
        <w14:textFill>
          <w14:solidFill>
            <w14:schemeClr w14:val="tx1"/>
          </w14:solidFill>
        </w14:textFill>
      </w:rPr>
    </w:lvl>
  </w:abstractNum>
  <w:abstractNum w:abstractNumId="29">
    <w:nsid w:val="39A0D9AC"/>
    <w:multiLevelType w:val="singleLevel"/>
    <w:tmpl w:val="39A0D9AC"/>
    <w:lvl w:ilvl="0" w:tentative="0">
      <w:start w:val="3"/>
      <w:numFmt w:val="decimal"/>
      <w:lvlText w:val="%1."/>
      <w:lvlJc w:val="left"/>
      <w:rPr>
        <w:rFonts w:hint="default"/>
        <w:color w:val="000000" w:themeColor="text1"/>
        <w14:textFill>
          <w14:solidFill>
            <w14:schemeClr w14:val="tx1"/>
          </w14:solidFill>
        </w14:textFill>
      </w:rPr>
    </w:lvl>
  </w:abstractNum>
  <w:abstractNum w:abstractNumId="30">
    <w:nsid w:val="40B249F9"/>
    <w:multiLevelType w:val="singleLevel"/>
    <w:tmpl w:val="40B249F9"/>
    <w:lvl w:ilvl="0" w:tentative="0">
      <w:start w:val="1"/>
      <w:numFmt w:val="decimal"/>
      <w:lvlText w:val="%1."/>
      <w:lvlJc w:val="left"/>
      <w:rPr>
        <w:rFonts w:hint="default"/>
        <w:color w:val="000000" w:themeColor="text1"/>
        <w14:textFill>
          <w14:solidFill>
            <w14:schemeClr w14:val="tx1"/>
          </w14:solidFill>
        </w14:textFill>
      </w:rPr>
    </w:lvl>
  </w:abstractNum>
  <w:abstractNum w:abstractNumId="31">
    <w:nsid w:val="4D94DA66"/>
    <w:multiLevelType w:val="singleLevel"/>
    <w:tmpl w:val="4D94DA66"/>
    <w:lvl w:ilvl="0" w:tentative="0">
      <w:start w:val="4"/>
      <w:numFmt w:val="decimal"/>
      <w:lvlText w:val="%1."/>
      <w:lvlJc w:val="left"/>
      <w:rPr>
        <w:rFonts w:hint="default"/>
        <w:color w:val="000000" w:themeColor="text1"/>
        <w14:textFill>
          <w14:solidFill>
            <w14:schemeClr w14:val="tx1"/>
          </w14:solidFill>
        </w14:textFill>
      </w:rPr>
    </w:lvl>
  </w:abstractNum>
  <w:abstractNum w:abstractNumId="32">
    <w:nsid w:val="58765686"/>
    <w:multiLevelType w:val="singleLevel"/>
    <w:tmpl w:val="58765686"/>
    <w:lvl w:ilvl="0" w:tentative="0">
      <w:start w:val="5"/>
      <w:numFmt w:val="decimal"/>
      <w:lvlText w:val="%1."/>
      <w:lvlJc w:val="left"/>
      <w:rPr>
        <w:rFonts w:hint="default"/>
        <w:color w:val="000000" w:themeColor="text1"/>
        <w14:textFill>
          <w14:solidFill>
            <w14:schemeClr w14:val="tx1"/>
          </w14:solidFill>
        </w14:textFill>
      </w:rPr>
    </w:lvl>
  </w:abstractNum>
  <w:abstractNum w:abstractNumId="33">
    <w:nsid w:val="5E29AB5A"/>
    <w:multiLevelType w:val="singleLevel"/>
    <w:tmpl w:val="5E29AB5A"/>
    <w:lvl w:ilvl="0" w:tentative="0">
      <w:start w:val="12"/>
      <w:numFmt w:val="decimal"/>
      <w:lvlText w:val="%1."/>
      <w:lvlJc w:val="left"/>
      <w:rPr>
        <w:rFonts w:hint="default"/>
        <w:color w:val="000000" w:themeColor="text1"/>
        <w14:textFill>
          <w14:solidFill>
            <w14:schemeClr w14:val="tx1"/>
          </w14:solidFill>
        </w14:textFill>
      </w:rPr>
    </w:lvl>
  </w:abstractNum>
  <w:abstractNum w:abstractNumId="34">
    <w:nsid w:val="629F7852"/>
    <w:multiLevelType w:val="singleLevel"/>
    <w:tmpl w:val="629F7852"/>
    <w:lvl w:ilvl="0" w:tentative="0">
      <w:start w:val="1"/>
      <w:numFmt w:val="decimal"/>
      <w:lvlText w:val="%1."/>
      <w:lvlJc w:val="left"/>
      <w:rPr>
        <w:rFonts w:hint="default"/>
        <w:color w:val="000000" w:themeColor="text1"/>
        <w14:textFill>
          <w14:solidFill>
            <w14:schemeClr w14:val="tx1"/>
          </w14:solidFill>
        </w14:textFill>
      </w:rPr>
    </w:lvl>
  </w:abstractNum>
  <w:abstractNum w:abstractNumId="35">
    <w:nsid w:val="79AA4FA4"/>
    <w:multiLevelType w:val="singleLevel"/>
    <w:tmpl w:val="79AA4FA4"/>
    <w:lvl w:ilvl="0" w:tentative="0">
      <w:start w:val="8"/>
      <w:numFmt w:val="decimal"/>
      <w:lvlText w:val="%1."/>
      <w:lvlJc w:val="left"/>
      <w:rPr>
        <w:rFonts w:hint="default"/>
        <w:color w:val="000000" w:themeColor="text1"/>
        <w14:textFill>
          <w14:solidFill>
            <w14:schemeClr w14:val="tx1"/>
          </w14:solidFill>
        </w14:textFill>
      </w:rPr>
    </w:lvl>
  </w:abstractNum>
  <w:abstractNum w:abstractNumId="36">
    <w:nsid w:val="7DEC2089"/>
    <w:multiLevelType w:val="singleLevel"/>
    <w:tmpl w:val="7DEC2089"/>
    <w:lvl w:ilvl="0" w:tentative="0">
      <w:start w:val="1"/>
      <w:numFmt w:val="decimal"/>
      <w:lvlText w:val="%1."/>
      <w:lvlJc w:val="left"/>
      <w:rPr>
        <w:rFonts w:hint="default"/>
        <w:color w:val="000000" w:themeColor="text1"/>
        <w14:textFill>
          <w14:solidFill>
            <w14:schemeClr w14:val="tx1"/>
          </w14:solidFill>
        </w14:textFill>
      </w:rPr>
    </w:lvl>
  </w:abstractNum>
  <w:abstractNum w:abstractNumId="37">
    <w:nsid w:val="7DFE4DD5"/>
    <w:multiLevelType w:val="singleLevel"/>
    <w:tmpl w:val="7DFE4DD5"/>
    <w:lvl w:ilvl="0" w:tentative="0">
      <w:start w:val="1"/>
      <w:numFmt w:val="decimal"/>
      <w:lvlText w:val="%1."/>
      <w:lvlJc w:val="left"/>
      <w:pPr>
        <w:tabs>
          <w:tab w:val="left" w:pos="425"/>
        </w:tabs>
        <w:ind w:left="425" w:leftChars="0" w:hanging="425" w:firstLineChars="0"/>
      </w:pPr>
      <w:rPr>
        <w:rFonts w:hint="default"/>
      </w:rPr>
    </w:lvl>
  </w:abstractNum>
  <w:num w:numId="1">
    <w:abstractNumId w:val="18"/>
  </w:num>
  <w:num w:numId="2">
    <w:abstractNumId w:val="10"/>
  </w:num>
  <w:num w:numId="3">
    <w:abstractNumId w:val="25"/>
  </w:num>
  <w:num w:numId="4">
    <w:abstractNumId w:val="34"/>
  </w:num>
  <w:num w:numId="5">
    <w:abstractNumId w:val="4"/>
  </w:num>
  <w:num w:numId="6">
    <w:abstractNumId w:val="29"/>
  </w:num>
  <w:num w:numId="7">
    <w:abstractNumId w:val="2"/>
  </w:num>
  <w:num w:numId="8">
    <w:abstractNumId w:val="32"/>
  </w:num>
  <w:num w:numId="9">
    <w:abstractNumId w:val="36"/>
  </w:num>
  <w:num w:numId="10">
    <w:abstractNumId w:val="0"/>
  </w:num>
  <w:num w:numId="11">
    <w:abstractNumId w:val="24"/>
  </w:num>
  <w:num w:numId="12">
    <w:abstractNumId w:val="31"/>
  </w:num>
  <w:num w:numId="13">
    <w:abstractNumId w:val="15"/>
  </w:num>
  <w:num w:numId="14">
    <w:abstractNumId w:val="12"/>
  </w:num>
  <w:num w:numId="15">
    <w:abstractNumId w:val="26"/>
  </w:num>
  <w:num w:numId="16">
    <w:abstractNumId w:val="35"/>
  </w:num>
  <w:num w:numId="17">
    <w:abstractNumId w:val="8"/>
  </w:num>
  <w:num w:numId="18">
    <w:abstractNumId w:val="3"/>
  </w:num>
  <w:num w:numId="19">
    <w:abstractNumId w:val="7"/>
  </w:num>
  <w:num w:numId="20">
    <w:abstractNumId w:val="33"/>
  </w:num>
  <w:num w:numId="21">
    <w:abstractNumId w:val="1"/>
  </w:num>
  <w:num w:numId="22">
    <w:abstractNumId w:val="22"/>
  </w:num>
  <w:num w:numId="23">
    <w:abstractNumId w:val="14"/>
  </w:num>
  <w:num w:numId="24">
    <w:abstractNumId w:val="27"/>
  </w:num>
  <w:num w:numId="25">
    <w:abstractNumId w:val="13"/>
  </w:num>
  <w:num w:numId="26">
    <w:abstractNumId w:val="23"/>
  </w:num>
  <w:num w:numId="27">
    <w:abstractNumId w:val="6"/>
  </w:num>
  <w:num w:numId="28">
    <w:abstractNumId w:val="30"/>
  </w:num>
  <w:num w:numId="29">
    <w:abstractNumId w:val="20"/>
  </w:num>
  <w:num w:numId="30">
    <w:abstractNumId w:val="28"/>
  </w:num>
  <w:num w:numId="31">
    <w:abstractNumId w:val="19"/>
  </w:num>
  <w:num w:numId="32">
    <w:abstractNumId w:val="37"/>
  </w:num>
  <w:num w:numId="33">
    <w:abstractNumId w:val="21"/>
  </w:num>
  <w:num w:numId="34">
    <w:abstractNumId w:val="5"/>
  </w:num>
  <w:num w:numId="35">
    <w:abstractNumId w:val="17"/>
  </w:num>
  <w:num w:numId="36">
    <w:abstractNumId w:val="9"/>
  </w:num>
  <w:num w:numId="37">
    <w:abstractNumId w:val="1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Cr1HusLw1SvvuAQvkHEJsCmLBcM=" w:salt="3Ike9of+ja0wgBaz7fhpEQ=="/>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1111B9"/>
    <w:rsid w:val="1BC700B7"/>
    <w:rsid w:val="1FFB94FC"/>
    <w:rsid w:val="296E77CC"/>
    <w:rsid w:val="332511D4"/>
    <w:rsid w:val="34C952C0"/>
    <w:rsid w:val="3FBE5947"/>
    <w:rsid w:val="5BFD48AE"/>
    <w:rsid w:val="6B015CA5"/>
    <w:rsid w:val="6E9F04C1"/>
    <w:rsid w:val="71F78039"/>
    <w:rsid w:val="73F920EB"/>
    <w:rsid w:val="74F367D2"/>
    <w:rsid w:val="773EEB4C"/>
    <w:rsid w:val="7CFA9AA9"/>
    <w:rsid w:val="7DFDB305"/>
    <w:rsid w:val="7DFDE565"/>
    <w:rsid w:val="7E8C58BB"/>
    <w:rsid w:val="7EFDF19D"/>
    <w:rsid w:val="7F6D904F"/>
    <w:rsid w:val="7FDF137C"/>
    <w:rsid w:val="7FF30875"/>
    <w:rsid w:val="7FFBA981"/>
    <w:rsid w:val="87FDDD24"/>
    <w:rsid w:val="AFB465D3"/>
    <w:rsid w:val="BBF5B85B"/>
    <w:rsid w:val="D5FD37DE"/>
    <w:rsid w:val="DBE648EC"/>
    <w:rsid w:val="DECEA9B6"/>
    <w:rsid w:val="E9EF983A"/>
    <w:rsid w:val="EE9FBC32"/>
    <w:rsid w:val="EF7FF7D1"/>
    <w:rsid w:val="EFFA3BEA"/>
    <w:rsid w:val="EFFED847"/>
    <w:rsid w:val="F9FB2412"/>
    <w:rsid w:val="FF16C52F"/>
    <w:rsid w:val="FFFFC21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font51"/>
    <w:basedOn w:val="7"/>
    <w:qFormat/>
    <w:uiPriority w:val="0"/>
    <w:rPr>
      <w:rFonts w:ascii="Segoe UI" w:hAnsi="Segoe UI" w:eastAsia="Segoe UI" w:cs="Segoe UI"/>
      <w:b/>
      <w:bCs/>
      <w:color w:val="0F1115"/>
      <w:sz w:val="22"/>
      <w:szCs w:val="22"/>
      <w:u w:val="none"/>
    </w:rPr>
  </w:style>
  <w:style w:type="character" w:customStyle="1" w:styleId="10">
    <w:name w:val="font21"/>
    <w:basedOn w:val="7"/>
    <w:qFormat/>
    <w:uiPriority w:val="0"/>
    <w:rPr>
      <w:rFonts w:hint="eastAsia" w:ascii="宋体" w:hAnsi="宋体" w:eastAsia="宋体" w:cs="宋体"/>
      <w:b/>
      <w:bCs/>
      <w:color w:val="0F1115"/>
      <w:sz w:val="22"/>
      <w:szCs w:val="22"/>
      <w:u w:val="none"/>
    </w:rPr>
  </w:style>
  <w:style w:type="character" w:customStyle="1" w:styleId="11">
    <w:name w:val="font61"/>
    <w:basedOn w:val="7"/>
    <w:qFormat/>
    <w:uiPriority w:val="0"/>
    <w:rPr>
      <w:rFonts w:hint="default" w:ascii="Segoe UI" w:hAnsi="Segoe UI" w:eastAsia="Segoe UI" w:cs="Segoe UI"/>
      <w:color w:val="0F1115"/>
      <w:sz w:val="23"/>
      <w:szCs w:val="23"/>
      <w:u w:val="none"/>
    </w:rPr>
  </w:style>
  <w:style w:type="character" w:customStyle="1" w:styleId="12">
    <w:name w:val="font41"/>
    <w:basedOn w:val="7"/>
    <w:qFormat/>
    <w:uiPriority w:val="0"/>
    <w:rPr>
      <w:rFonts w:hint="eastAsia" w:ascii="宋体" w:hAnsi="宋体" w:eastAsia="宋体" w:cs="宋体"/>
      <w:color w:val="0F1115"/>
      <w:sz w:val="23"/>
      <w:szCs w:val="2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7809</Words>
  <Characters>8036</Characters>
  <TotalTime>4</TotalTime>
  <ScaleCrop>false</ScaleCrop>
  <LinksUpToDate>false</LinksUpToDate>
  <CharactersWithSpaces>8089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2026-03-16T09:11:00Z</dcterms:created>
  <dc:creator>Apache POI</dc:creator>
  <cp:lastModifiedBy>彭瑞琦</cp:lastModifiedBy>
  <dcterms:modified xsi:type="dcterms:W3CDTF">2026-03-26T08:02:35Z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eyJoZGlkIjoiZGNlNWFjYmY5YTQ5MjI3ZjI4OWI2NWQ4YmI3OGVmZTkiLCJ1c2VySWQiOiI5Nzc2MjAxNjMifQ==</vt:lpwstr>
  </property>
  <property fmtid="{D5CDD505-2E9C-101B-9397-08002B2CF9AE}" pid="3" name="KSOProductBuildVer">
    <vt:lpwstr>2052-12.1.0.25225</vt:lpwstr>
  </property>
  <property fmtid="{D5CDD505-2E9C-101B-9397-08002B2CF9AE}" pid="4" name="ICV">
    <vt:lpwstr>DAFD7207444DE5A03D07BD69B6AF6899_43</vt:lpwstr>
  </property>
</Properties>
</file>